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25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3"/>
        <w:gridCol w:w="4623"/>
        <w:gridCol w:w="4268"/>
        <w:gridCol w:w="3294"/>
      </w:tblGrid>
      <w:tr>
        <w:trPr>
          <w:trHeight w:val="383" w:hRule="atLeast"/>
        </w:trPr>
        <w:tc>
          <w:tcPr>
            <w:tcW w:w="14398" w:type="dxa"/>
            <w:gridSpan w:val="4"/>
            <w:shd w:val="clear" w:color="auto" w:fill="E1EED9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Thursday, October 27, 2022</w:t>
            </w:r>
          </w:p>
        </w:tc>
      </w:tr>
      <w:tr>
        <w:trPr>
          <w:trHeight w:val="637" w:hRule="atLeast"/>
        </w:trPr>
        <w:tc>
          <w:tcPr>
            <w:tcW w:w="2213" w:type="dxa"/>
            <w:shd w:val="clear" w:color="auto" w:fill="A8D08D"/>
          </w:tcPr>
          <w:p>
            <w:pPr>
              <w:pStyle w:val="TableParagraph"/>
              <w:spacing w:before="16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4623" w:type="dxa"/>
            <w:shd w:val="clear" w:color="auto" w:fill="A8D08D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Upon completion of this course, learners will</w:t>
            </w:r>
          </w:p>
          <w:p>
            <w:pPr>
              <w:pStyle w:val="TableParagraph"/>
              <w:spacing w:before="5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be better able to:</w:t>
            </w:r>
          </w:p>
        </w:tc>
        <w:tc>
          <w:tcPr>
            <w:tcW w:w="4268" w:type="dxa"/>
            <w:shd w:val="clear" w:color="auto" w:fill="A8D08D"/>
          </w:tcPr>
          <w:p>
            <w:pPr>
              <w:pStyle w:val="TableParagraph"/>
              <w:spacing w:before="16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Faculty Information</w:t>
            </w:r>
          </w:p>
        </w:tc>
        <w:tc>
          <w:tcPr>
            <w:tcW w:w="3294" w:type="dxa"/>
            <w:shd w:val="clear" w:color="auto" w:fill="A8D08D"/>
          </w:tcPr>
          <w:p>
            <w:pPr>
              <w:pStyle w:val="TableParagraph"/>
              <w:spacing w:before="16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CPE Information</w:t>
            </w:r>
          </w:p>
        </w:tc>
      </w:tr>
      <w:tr>
        <w:trPr>
          <w:trHeight w:val="2872" w:hRule="atLeast"/>
        </w:trPr>
        <w:tc>
          <w:tcPr>
            <w:tcW w:w="221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88" w:lineRule="auto" w:before="201"/>
              <w:ind w:left="107" w:right="164"/>
              <w:rPr>
                <w:sz w:val="20"/>
              </w:rPr>
            </w:pPr>
            <w:r>
              <w:rPr>
                <w:b/>
                <w:sz w:val="20"/>
              </w:rPr>
              <w:t>A Modern Approach to Clinician Safety and Well-being </w:t>
            </w:r>
            <w:r>
              <w:rPr>
                <w:sz w:val="20"/>
              </w:rPr>
              <w:t>8:15am – 9:15am</w:t>
            </w:r>
          </w:p>
        </w:tc>
        <w:tc>
          <w:tcPr>
            <w:tcW w:w="4623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68" w:val="left" w:leader="none"/>
              </w:tabs>
              <w:spacing w:line="288" w:lineRule="auto" w:before="0" w:after="0"/>
              <w:ind w:left="467" w:right="718" w:hanging="360"/>
              <w:jc w:val="both"/>
              <w:rPr>
                <w:sz w:val="20"/>
              </w:rPr>
            </w:pPr>
            <w:r>
              <w:rPr>
                <w:sz w:val="20"/>
              </w:rPr>
              <w:t>Discuss the impact of the pandemic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on society’s mental health and destructive behaviors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8" w:val="left" w:leader="none"/>
              </w:tabs>
              <w:spacing w:line="288" w:lineRule="auto" w:before="0" w:after="0"/>
              <w:ind w:left="467" w:right="356" w:hanging="360"/>
              <w:jc w:val="both"/>
              <w:rPr>
                <w:sz w:val="20"/>
              </w:rPr>
            </w:pPr>
            <w:r>
              <w:rPr>
                <w:sz w:val="20"/>
              </w:rPr>
              <w:t>Recognize the impact of the pandemic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and society’s response on clinicians’ safety and well-being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468" w:val="left" w:leader="none"/>
              </w:tabs>
              <w:spacing w:line="266" w:lineRule="exact" w:before="0" w:after="0"/>
              <w:ind w:left="467" w:right="0" w:hanging="361"/>
              <w:jc w:val="both"/>
              <w:rPr>
                <w:sz w:val="20"/>
              </w:rPr>
            </w:pPr>
            <w:r>
              <w:rPr>
                <w:sz w:val="20"/>
              </w:rPr>
              <w:t>Apply new knowledge to assist 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</w:p>
          <w:p>
            <w:pPr>
              <w:pStyle w:val="TableParagraph"/>
              <w:spacing w:line="320" w:lineRule="atLeast"/>
              <w:ind w:left="467" w:right="471"/>
              <w:jc w:val="both"/>
              <w:rPr>
                <w:sz w:val="20"/>
              </w:rPr>
            </w:pPr>
            <w:r>
              <w:rPr>
                <w:sz w:val="20"/>
              </w:rPr>
              <w:t>building of improved systems for clinician safety and well-being</w:t>
            </w:r>
          </w:p>
        </w:tc>
        <w:tc>
          <w:tcPr>
            <w:tcW w:w="426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Gerard Clancy, MD</w:t>
            </w:r>
          </w:p>
          <w:p>
            <w:pPr>
              <w:pStyle w:val="TableParagraph"/>
              <w:spacing w:line="288" w:lineRule="auto" w:before="53"/>
              <w:ind w:left="107"/>
              <w:rPr>
                <w:sz w:val="20"/>
              </w:rPr>
            </w:pPr>
            <w:r>
              <w:rPr>
                <w:sz w:val="20"/>
              </w:rPr>
              <w:t>Senior Associate Dean for External Affairs Professor of Psychiatry and Emergency Medicine</w:t>
            </w:r>
          </w:p>
          <w:p>
            <w:pPr>
              <w:pStyle w:val="TableParagraph"/>
              <w:spacing w:line="266" w:lineRule="exact"/>
              <w:ind w:left="107"/>
              <w:rPr>
                <w:sz w:val="20"/>
              </w:rPr>
            </w:pPr>
            <w:r>
              <w:rPr>
                <w:sz w:val="20"/>
              </w:rPr>
              <w:t>UI Carver College of Medicine</w:t>
            </w:r>
          </w:p>
        </w:tc>
        <w:tc>
          <w:tcPr>
            <w:tcW w:w="32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0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UAN:</w:t>
            </w:r>
          </w:p>
          <w:p>
            <w:pPr>
              <w:pStyle w:val="TableParagraph"/>
              <w:spacing w:before="53"/>
              <w:ind w:left="106"/>
              <w:rPr>
                <w:sz w:val="20"/>
              </w:rPr>
            </w:pPr>
            <w:r>
              <w:rPr>
                <w:sz w:val="20"/>
              </w:rPr>
              <w:t>0107-9999-22-322-L04-P</w:t>
            </w:r>
          </w:p>
          <w:p>
            <w:pPr>
              <w:pStyle w:val="TableParagraph"/>
              <w:spacing w:line="288" w:lineRule="auto" w:before="53"/>
              <w:ind w:left="106" w:right="1543"/>
              <w:rPr>
                <w:sz w:val="20"/>
              </w:rPr>
            </w:pPr>
            <w:r>
              <w:rPr>
                <w:sz w:val="20"/>
              </w:rPr>
              <w:t>0.1 CEU/1.0 Hours </w:t>
            </w:r>
            <w:r>
              <w:rPr>
                <w:w w:val="95"/>
                <w:sz w:val="20"/>
              </w:rPr>
              <w:t>Knowledge-based</w:t>
            </w:r>
          </w:p>
        </w:tc>
      </w:tr>
      <w:tr>
        <w:trPr>
          <w:trHeight w:val="3222" w:hRule="atLeast"/>
        </w:trPr>
        <w:tc>
          <w:tcPr>
            <w:tcW w:w="221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>
            <w:pPr>
              <w:pStyle w:val="TableParagraph"/>
              <w:spacing w:line="288" w:lineRule="auto"/>
              <w:ind w:left="107"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Reproductive Health in Rheumatic Diseases</w:t>
            </w:r>
          </w:p>
          <w:p>
            <w:pPr>
              <w:pStyle w:val="TableParagraph"/>
              <w:spacing w:line="266" w:lineRule="exact"/>
              <w:ind w:left="107"/>
              <w:rPr>
                <w:sz w:val="20"/>
              </w:rPr>
            </w:pPr>
            <w:r>
              <w:rPr>
                <w:sz w:val="20"/>
              </w:rPr>
              <w:t>9:15am – 10:00am</w:t>
            </w:r>
          </w:p>
        </w:tc>
        <w:tc>
          <w:tcPr>
            <w:tcW w:w="4623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468" w:val="left" w:leader="none"/>
              </w:tabs>
              <w:spacing w:line="288" w:lineRule="auto" w:before="1" w:after="0"/>
              <w:ind w:left="467" w:right="227" w:hanging="36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Discuss the unique safety issues of different forms of contraception in patients with rheumatic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disease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8" w:val="left" w:leader="none"/>
              </w:tabs>
              <w:spacing w:line="288" w:lineRule="auto" w:before="1" w:after="0"/>
              <w:ind w:left="467" w:right="123" w:hanging="361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Explain the importance of pre-pregnancy risk assessment in patients with rheumatic disease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8" w:val="left" w:leader="none"/>
              </w:tabs>
              <w:spacing w:line="288" w:lineRule="auto" w:before="0" w:after="0"/>
              <w:ind w:left="467" w:right="241" w:hanging="360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Describe unique disease-specific features in pregnant women with rheumatic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disease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468" w:val="left" w:leader="none"/>
              </w:tabs>
              <w:spacing w:line="240" w:lineRule="auto" w:before="1" w:after="0"/>
              <w:ind w:left="467" w:right="0" w:hanging="361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Discuss the safety of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rheumatology</w:t>
            </w:r>
          </w:p>
          <w:p>
            <w:pPr>
              <w:pStyle w:val="TableParagraph"/>
              <w:spacing w:before="53"/>
              <w:ind w:left="46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medications in pregnancy and lactation</w:t>
            </w:r>
          </w:p>
        </w:tc>
        <w:tc>
          <w:tcPr>
            <w:tcW w:w="4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06" w:right="1747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Brittany Bettendorf, MD Clinical Assistant Professor Division of Immunology</w:t>
            </w:r>
          </w:p>
          <w:p>
            <w:pPr>
              <w:pStyle w:val="TableParagraph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UI Carver College of Medicine</w:t>
            </w:r>
          </w:p>
        </w:tc>
        <w:tc>
          <w:tcPr>
            <w:tcW w:w="32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30"/>
              <w:ind w:left="106"/>
              <w:rPr>
                <w:sz w:val="20"/>
              </w:rPr>
            </w:pPr>
            <w:r>
              <w:rPr>
                <w:sz w:val="20"/>
              </w:rPr>
              <w:t>UAN:</w:t>
            </w:r>
          </w:p>
          <w:p>
            <w:pPr>
              <w:pStyle w:val="TableParagraph"/>
              <w:spacing w:before="53"/>
              <w:ind w:left="106"/>
              <w:rPr>
                <w:sz w:val="20"/>
              </w:rPr>
            </w:pPr>
            <w:r>
              <w:rPr>
                <w:sz w:val="20"/>
              </w:rPr>
              <w:t>0107-9999-22-323-L01-P</w:t>
            </w:r>
          </w:p>
          <w:p>
            <w:pPr>
              <w:pStyle w:val="TableParagraph"/>
              <w:spacing w:line="288" w:lineRule="auto" w:before="53"/>
              <w:ind w:left="106" w:right="1219"/>
              <w:rPr>
                <w:sz w:val="20"/>
              </w:rPr>
            </w:pPr>
            <w:r>
              <w:rPr>
                <w:sz w:val="20"/>
              </w:rPr>
              <w:t>0.075 CEU/0.75 Hours Knowledge-based</w:t>
            </w:r>
          </w:p>
        </w:tc>
      </w:tr>
      <w:tr>
        <w:trPr>
          <w:trHeight w:val="2087" w:hRule="atLeast"/>
        </w:trPr>
        <w:tc>
          <w:tcPr>
            <w:tcW w:w="2213" w:type="dxa"/>
          </w:tcPr>
          <w:p>
            <w:pPr>
              <w:pStyle w:val="TableParagraph"/>
              <w:spacing w:line="288" w:lineRule="auto" w:before="86"/>
              <w:ind w:left="107" w:right="305"/>
              <w:rPr>
                <w:sz w:val="20"/>
              </w:rPr>
            </w:pPr>
            <w:r>
              <w:rPr>
                <w:b/>
                <w:sz w:val="20"/>
              </w:rPr>
              <w:t>Shared Care of Oncology Patients: Managing the Mayhem of Oral Oncolytic Agents </w:t>
            </w:r>
            <w:r>
              <w:rPr>
                <w:sz w:val="20"/>
              </w:rPr>
              <w:t>10:15am – 11:00am</w:t>
            </w:r>
          </w:p>
        </w:tc>
        <w:tc>
          <w:tcPr>
            <w:tcW w:w="4623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  <w:tab w:pos="468" w:val="left" w:leader="none"/>
              </w:tabs>
              <w:spacing w:line="288" w:lineRule="auto" w:before="0" w:after="0"/>
              <w:ind w:left="467" w:right="502" w:hanging="360"/>
              <w:jc w:val="left"/>
              <w:rPr>
                <w:sz w:val="20"/>
              </w:rPr>
            </w:pPr>
            <w:r>
              <w:rPr>
                <w:sz w:val="20"/>
              </w:rPr>
              <w:t>Describe the mechanism of action of the groups of oral oncolytic agents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discussed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7" w:val="left" w:leader="none"/>
                <w:tab w:pos="468" w:val="left" w:leader="none"/>
              </w:tabs>
              <w:spacing w:line="288" w:lineRule="auto" w:before="0" w:after="0"/>
              <w:ind w:left="467" w:right="193" w:hanging="360"/>
              <w:jc w:val="left"/>
              <w:rPr>
                <w:sz w:val="20"/>
              </w:rPr>
            </w:pPr>
            <w:r>
              <w:rPr>
                <w:sz w:val="20"/>
              </w:rPr>
              <w:t>Identify common side effects associated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with the agents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discussed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68" w:val="left" w:leader="none"/>
              </w:tabs>
              <w:spacing w:line="266" w:lineRule="exact" w:before="15" w:after="0"/>
              <w:ind w:left="467" w:right="415" w:hanging="360"/>
              <w:jc w:val="left"/>
              <w:rPr>
                <w:rFonts w:ascii="Calibri"/>
                <w:sz w:val="24"/>
              </w:rPr>
            </w:pPr>
            <w:r>
              <w:rPr>
                <w:sz w:val="20"/>
              </w:rPr>
              <w:t>Design supportive care plans to effectively manage adverse effects of the agents discussed</w:t>
            </w:r>
          </w:p>
        </w:tc>
        <w:tc>
          <w:tcPr>
            <w:tcW w:w="4268" w:type="dxa"/>
          </w:tcPr>
          <w:p>
            <w:pPr>
              <w:pStyle w:val="TableParagraph"/>
              <w:spacing w:before="6"/>
              <w:rPr>
                <w:rFonts w:ascii="Times New Roman"/>
                <w:sz w:val="37"/>
              </w:rPr>
            </w:pPr>
          </w:p>
          <w:p>
            <w:pPr>
              <w:pStyle w:val="TableParagraph"/>
              <w:spacing w:line="288" w:lineRule="auto"/>
              <w:ind w:left="106" w:right="1395"/>
              <w:rPr>
                <w:sz w:val="20"/>
              </w:rPr>
            </w:pPr>
            <w:r>
              <w:rPr>
                <w:sz w:val="20"/>
              </w:rPr>
              <w:t>Susan Fajardo, PharmD, BCACP Clinical Pharmacy Specialist Hematology/Oncology</w:t>
            </w:r>
          </w:p>
          <w:p>
            <w:pPr>
              <w:pStyle w:val="TableParagraph"/>
              <w:spacing w:line="266" w:lineRule="exact"/>
              <w:ind w:left="106"/>
              <w:rPr>
                <w:sz w:val="20"/>
              </w:rPr>
            </w:pPr>
            <w:r>
              <w:rPr>
                <w:sz w:val="20"/>
              </w:rPr>
              <w:t>University of Iowa Hospitals and Clinics</w:t>
            </w:r>
          </w:p>
        </w:tc>
        <w:tc>
          <w:tcPr>
            <w:tcW w:w="3294" w:type="dxa"/>
          </w:tcPr>
          <w:p>
            <w:pPr>
              <w:pStyle w:val="TableParagraph"/>
              <w:spacing w:before="3"/>
              <w:rPr>
                <w:rFonts w:ascii="Times New Roman"/>
                <w:sz w:val="35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UAN:</w:t>
            </w:r>
          </w:p>
          <w:p>
            <w:pPr>
              <w:pStyle w:val="TableParagraph"/>
              <w:spacing w:before="53"/>
              <w:ind w:left="106"/>
              <w:rPr>
                <w:sz w:val="20"/>
              </w:rPr>
            </w:pPr>
            <w:r>
              <w:rPr>
                <w:sz w:val="20"/>
              </w:rPr>
              <w:t>0107-9999-22-324-L01-P</w:t>
            </w:r>
          </w:p>
          <w:p>
            <w:pPr>
              <w:pStyle w:val="TableParagraph"/>
              <w:spacing w:line="288" w:lineRule="auto" w:before="53"/>
              <w:ind w:left="106" w:right="1219"/>
              <w:rPr>
                <w:sz w:val="20"/>
              </w:rPr>
            </w:pPr>
            <w:r>
              <w:rPr>
                <w:sz w:val="20"/>
              </w:rPr>
              <w:t>0.075 CEU/0.75 Hours Knowledge-based</w:t>
            </w:r>
          </w:p>
        </w:tc>
      </w:tr>
    </w:tbl>
    <w:p>
      <w:pPr>
        <w:spacing w:after="0" w:line="288" w:lineRule="auto"/>
        <w:rPr>
          <w:sz w:val="20"/>
        </w:rPr>
        <w:sectPr>
          <w:headerReference w:type="default" r:id="rId5"/>
          <w:type w:val="continuous"/>
          <w:pgSz w:w="15840" w:h="12240" w:orient="landscape"/>
          <w:pgMar w:header="720" w:top="1900" w:bottom="280" w:left="600" w:right="600"/>
        </w:sectPr>
      </w:pPr>
    </w:p>
    <w:p>
      <w:pPr>
        <w:pStyle w:val="BodyText"/>
        <w:spacing w:before="10"/>
        <w:rPr>
          <w:rFonts w:ascii="Times New Roman"/>
          <w:sz w:val="25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3"/>
        <w:gridCol w:w="4623"/>
        <w:gridCol w:w="4268"/>
        <w:gridCol w:w="3294"/>
      </w:tblGrid>
      <w:tr>
        <w:trPr>
          <w:trHeight w:val="383" w:hRule="atLeast"/>
        </w:trPr>
        <w:tc>
          <w:tcPr>
            <w:tcW w:w="14398" w:type="dxa"/>
            <w:gridSpan w:val="4"/>
            <w:shd w:val="clear" w:color="auto" w:fill="E1EED9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Thursday, October 27, 2022</w:t>
            </w:r>
          </w:p>
        </w:tc>
      </w:tr>
      <w:tr>
        <w:trPr>
          <w:trHeight w:val="637" w:hRule="atLeast"/>
        </w:trPr>
        <w:tc>
          <w:tcPr>
            <w:tcW w:w="2213" w:type="dxa"/>
            <w:shd w:val="clear" w:color="auto" w:fill="A8D08D"/>
          </w:tcPr>
          <w:p>
            <w:pPr>
              <w:pStyle w:val="TableParagraph"/>
              <w:spacing w:before="16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4623" w:type="dxa"/>
            <w:shd w:val="clear" w:color="auto" w:fill="A8D08D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Upon completion of this course, learners will</w:t>
            </w:r>
          </w:p>
          <w:p>
            <w:pPr>
              <w:pStyle w:val="TableParagraph"/>
              <w:spacing w:before="5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be better able to:</w:t>
            </w:r>
          </w:p>
        </w:tc>
        <w:tc>
          <w:tcPr>
            <w:tcW w:w="4268" w:type="dxa"/>
            <w:shd w:val="clear" w:color="auto" w:fill="A8D08D"/>
          </w:tcPr>
          <w:p>
            <w:pPr>
              <w:pStyle w:val="TableParagraph"/>
              <w:spacing w:before="16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Faculty Information</w:t>
            </w:r>
          </w:p>
        </w:tc>
        <w:tc>
          <w:tcPr>
            <w:tcW w:w="3294" w:type="dxa"/>
            <w:shd w:val="clear" w:color="auto" w:fill="A8D08D"/>
          </w:tcPr>
          <w:p>
            <w:pPr>
              <w:pStyle w:val="TableParagraph"/>
              <w:spacing w:before="16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CPE Information</w:t>
            </w:r>
          </w:p>
        </w:tc>
      </w:tr>
      <w:tr>
        <w:trPr>
          <w:trHeight w:val="2872" w:hRule="atLeast"/>
        </w:trPr>
        <w:tc>
          <w:tcPr>
            <w:tcW w:w="221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88" w:lineRule="auto" w:before="1"/>
              <w:ind w:left="107" w:right="217"/>
              <w:rPr>
                <w:sz w:val="20"/>
              </w:rPr>
            </w:pPr>
            <w:r>
              <w:rPr>
                <w:b/>
                <w:sz w:val="20"/>
              </w:rPr>
              <w:t>GLP-1 Receptor Agonists and Obesity: What Are You Weighting For? </w:t>
            </w:r>
            <w:r>
              <w:rPr>
                <w:sz w:val="20"/>
              </w:rPr>
              <w:t>11:00am – 11:45am</w:t>
            </w:r>
          </w:p>
        </w:tc>
        <w:tc>
          <w:tcPr>
            <w:tcW w:w="4623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  <w:tab w:pos="468" w:val="left" w:leader="none"/>
              </w:tabs>
              <w:spacing w:line="288" w:lineRule="auto" w:before="0" w:after="0"/>
              <w:ind w:left="467" w:right="558" w:hanging="360"/>
              <w:jc w:val="left"/>
              <w:rPr>
                <w:sz w:val="20"/>
              </w:rPr>
            </w:pPr>
            <w:r>
              <w:rPr>
                <w:sz w:val="20"/>
              </w:rPr>
              <w:t>Discuss pharmacology of GLP-1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receptor agonists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  <w:tab w:pos="468" w:val="left" w:leader="none"/>
              </w:tabs>
              <w:spacing w:line="288" w:lineRule="auto" w:before="0" w:after="0"/>
              <w:ind w:left="467" w:right="239" w:hanging="361"/>
              <w:jc w:val="left"/>
              <w:rPr>
                <w:sz w:val="20"/>
              </w:rPr>
            </w:pPr>
            <w:r>
              <w:rPr>
                <w:sz w:val="20"/>
              </w:rPr>
              <w:t>Describe the role of GLP-1 receptor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agonists in treatment 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obesity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  <w:tab w:pos="468" w:val="left" w:leader="none"/>
              </w:tabs>
              <w:spacing w:line="288" w:lineRule="auto" w:before="0" w:after="0"/>
              <w:ind w:left="467" w:right="786" w:hanging="361"/>
              <w:jc w:val="left"/>
              <w:rPr>
                <w:sz w:val="20"/>
              </w:rPr>
            </w:pPr>
            <w:r>
              <w:rPr>
                <w:sz w:val="20"/>
              </w:rPr>
              <w:t>Identify candidates for GLP-1 receptor agonists in patients with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obesity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67" w:val="left" w:leader="none"/>
                <w:tab w:pos="468" w:val="left" w:leader="none"/>
              </w:tabs>
              <w:spacing w:line="288" w:lineRule="auto" w:before="0" w:after="0"/>
              <w:ind w:left="467" w:right="300" w:hanging="360"/>
              <w:jc w:val="left"/>
              <w:rPr>
                <w:sz w:val="20"/>
              </w:rPr>
            </w:pPr>
            <w:r>
              <w:rPr>
                <w:sz w:val="20"/>
              </w:rPr>
              <w:t>Create a care plan for a patient with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obesity that includes a GLP-1 receptor agonist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as</w:t>
            </w:r>
          </w:p>
          <w:p>
            <w:pPr>
              <w:pStyle w:val="TableParagraph"/>
              <w:spacing w:line="266" w:lineRule="exact"/>
              <w:ind w:left="467"/>
              <w:rPr>
                <w:sz w:val="20"/>
              </w:rPr>
            </w:pPr>
            <w:r>
              <w:rPr>
                <w:sz w:val="20"/>
              </w:rPr>
              <w:t>appropriate therapy</w:t>
            </w:r>
          </w:p>
        </w:tc>
        <w:tc>
          <w:tcPr>
            <w:tcW w:w="4268" w:type="dxa"/>
          </w:tcPr>
          <w:p>
            <w:pPr>
              <w:pStyle w:val="TableParagraph"/>
              <w:spacing w:before="160"/>
              <w:ind w:left="107"/>
              <w:rPr>
                <w:sz w:val="20"/>
              </w:rPr>
            </w:pPr>
            <w:r>
              <w:rPr>
                <w:sz w:val="20"/>
              </w:rPr>
              <w:t>Leon Jons, MD</w:t>
            </w:r>
          </w:p>
          <w:p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Clinical Associate Professor</w:t>
            </w:r>
          </w:p>
          <w:p>
            <w:pPr>
              <w:pStyle w:val="TableParagraph"/>
              <w:spacing w:line="288" w:lineRule="auto" w:before="53"/>
              <w:ind w:left="107" w:right="390"/>
              <w:rPr>
                <w:sz w:val="20"/>
              </w:rPr>
            </w:pPr>
            <w:r>
              <w:rPr>
                <w:sz w:val="20"/>
              </w:rPr>
              <w:t>Division of Endocrinology and Metabolism UI Carver College of Medicine</w:t>
            </w:r>
          </w:p>
          <w:p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88" w:lineRule="auto" w:before="1"/>
              <w:ind w:left="107" w:right="1395"/>
              <w:rPr>
                <w:sz w:val="20"/>
              </w:rPr>
            </w:pPr>
            <w:r>
              <w:rPr>
                <w:sz w:val="20"/>
              </w:rPr>
              <w:t>Tracy Weber, PharmD, BCACP Clinical Pharmacy Specialist University of Iowa</w:t>
            </w:r>
          </w:p>
        </w:tc>
        <w:tc>
          <w:tcPr>
            <w:tcW w:w="32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00"/>
              <w:ind w:left="106"/>
              <w:rPr>
                <w:sz w:val="20"/>
              </w:rPr>
            </w:pPr>
            <w:r>
              <w:rPr>
                <w:sz w:val="20"/>
              </w:rPr>
              <w:t>UAN:</w:t>
            </w:r>
          </w:p>
          <w:p>
            <w:pPr>
              <w:pStyle w:val="TableParagraph"/>
              <w:spacing w:before="53"/>
              <w:ind w:left="106"/>
              <w:rPr>
                <w:sz w:val="20"/>
              </w:rPr>
            </w:pPr>
            <w:r>
              <w:rPr>
                <w:sz w:val="20"/>
              </w:rPr>
              <w:t>0107-9999-22-325-L01-P</w:t>
            </w:r>
          </w:p>
          <w:p>
            <w:pPr>
              <w:pStyle w:val="TableParagraph"/>
              <w:spacing w:line="288" w:lineRule="auto" w:before="53"/>
              <w:ind w:left="106" w:right="1219"/>
              <w:rPr>
                <w:sz w:val="20"/>
              </w:rPr>
            </w:pPr>
            <w:r>
              <w:rPr>
                <w:sz w:val="20"/>
              </w:rPr>
              <w:t>0.075 CEU/0.75 Hours Knowledge-based</w:t>
            </w:r>
          </w:p>
        </w:tc>
      </w:tr>
      <w:tr>
        <w:trPr>
          <w:trHeight w:val="5109" w:hRule="atLeast"/>
        </w:trPr>
        <w:tc>
          <w:tcPr>
            <w:tcW w:w="221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88" w:lineRule="auto" w:before="221"/>
              <w:ind w:left="107" w:right="130" w:hanging="1"/>
              <w:rPr>
                <w:sz w:val="20"/>
              </w:rPr>
            </w:pPr>
            <w:r>
              <w:rPr>
                <w:b/>
                <w:sz w:val="20"/>
              </w:rPr>
              <w:t>Evidence-based Medicine Updates of Pharmacotherapy Interventions in the Emergency Department / Hot Topics in Health System Medicine </w:t>
            </w:r>
            <w:r>
              <w:rPr>
                <w:sz w:val="20"/>
              </w:rPr>
              <w:t>1:00pm – 2:30pm</w:t>
            </w:r>
          </w:p>
        </w:tc>
        <w:tc>
          <w:tcPr>
            <w:tcW w:w="462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34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15" w:val="left" w:leader="none"/>
              </w:tabs>
              <w:spacing w:line="288" w:lineRule="auto" w:before="0" w:after="0"/>
              <w:ind w:left="107" w:right="156" w:firstLine="0"/>
              <w:jc w:val="left"/>
              <w:rPr>
                <w:sz w:val="20"/>
              </w:rPr>
            </w:pPr>
            <w:r>
              <w:rPr>
                <w:sz w:val="20"/>
              </w:rPr>
              <w:t>Discuss the current evidence for emerging pharmacotherapy interventions in the emergency department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15" w:val="left" w:leader="none"/>
              </w:tabs>
              <w:spacing w:line="288" w:lineRule="auto" w:before="0" w:after="0"/>
              <w:ind w:left="107" w:right="308" w:firstLine="0"/>
              <w:jc w:val="left"/>
              <w:rPr>
                <w:sz w:val="20"/>
              </w:rPr>
            </w:pPr>
            <w:r>
              <w:rPr>
                <w:sz w:val="20"/>
              </w:rPr>
              <w:t>Discuss pharmacotherapy updates in</w:t>
            </w:r>
            <w:r>
              <w:rPr>
                <w:spacing w:val="-22"/>
                <w:sz w:val="20"/>
              </w:rPr>
              <w:t> </w:t>
            </w:r>
            <w:r>
              <w:rPr>
                <w:sz w:val="20"/>
              </w:rPr>
              <w:t>hospital medicine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315" w:val="left" w:leader="none"/>
              </w:tabs>
              <w:spacing w:line="266" w:lineRule="exact" w:before="0" w:after="0"/>
              <w:ind w:left="314" w:right="0" w:hanging="208"/>
              <w:jc w:val="left"/>
              <w:rPr>
                <w:sz w:val="20"/>
              </w:rPr>
            </w:pPr>
            <w:r>
              <w:rPr>
                <w:sz w:val="20"/>
              </w:rPr>
              <w:t>Identify trending topics in critical care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medicine</w:t>
            </w:r>
          </w:p>
        </w:tc>
        <w:tc>
          <w:tcPr>
            <w:tcW w:w="426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line="288" w:lineRule="auto" w:before="179"/>
              <w:ind w:left="107" w:right="1743"/>
              <w:rPr>
                <w:sz w:val="20"/>
              </w:rPr>
            </w:pPr>
            <w:r>
              <w:rPr>
                <w:sz w:val="20"/>
              </w:rPr>
              <w:t>Brett Faine, PharmD, MS Clinical Associate Professor</w:t>
            </w:r>
          </w:p>
          <w:p>
            <w:pPr>
              <w:pStyle w:val="TableParagraph"/>
              <w:spacing w:line="288" w:lineRule="auto"/>
              <w:ind w:left="107" w:right="558"/>
              <w:rPr>
                <w:sz w:val="20"/>
              </w:rPr>
            </w:pPr>
            <w:r>
              <w:rPr>
                <w:sz w:val="20"/>
              </w:rPr>
              <w:t>Department of Emergency Medicine and Pharmacy, UIHC</w:t>
            </w:r>
          </w:p>
          <w:p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88" w:lineRule="auto"/>
              <w:ind w:left="107" w:right="1380"/>
              <w:rPr>
                <w:sz w:val="20"/>
              </w:rPr>
            </w:pPr>
            <w:r>
              <w:rPr>
                <w:sz w:val="20"/>
              </w:rPr>
              <w:t>Mike Gassmann PharmD, BCPS Inpatient Clinical Pharmacist Department of Pharmacy,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UIHC</w:t>
            </w:r>
          </w:p>
          <w:p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>
            <w:pPr>
              <w:pStyle w:val="TableParagraph"/>
              <w:spacing w:line="288" w:lineRule="auto"/>
              <w:ind w:left="107" w:right="1115"/>
              <w:rPr>
                <w:sz w:val="20"/>
              </w:rPr>
            </w:pPr>
            <w:r>
              <w:rPr>
                <w:sz w:val="20"/>
              </w:rPr>
              <w:t>Katy Rolfes, PharmD, BCPS,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BCCCP Critical Care Clinical Pharmacist Department of Pharmacy,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UIHC</w:t>
            </w:r>
          </w:p>
        </w:tc>
        <w:tc>
          <w:tcPr>
            <w:tcW w:w="32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38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UAN:</w:t>
            </w:r>
          </w:p>
          <w:p>
            <w:pPr>
              <w:pStyle w:val="TableParagraph"/>
              <w:spacing w:before="53"/>
              <w:ind w:left="106"/>
              <w:rPr>
                <w:sz w:val="20"/>
              </w:rPr>
            </w:pPr>
            <w:r>
              <w:rPr>
                <w:sz w:val="20"/>
              </w:rPr>
              <w:t>0107-9999-22-326-L01-P</w:t>
            </w:r>
          </w:p>
          <w:p>
            <w:pPr>
              <w:pStyle w:val="TableParagraph"/>
              <w:spacing w:line="288" w:lineRule="auto" w:before="53"/>
              <w:ind w:left="106" w:right="1435"/>
              <w:rPr>
                <w:sz w:val="20"/>
              </w:rPr>
            </w:pPr>
            <w:r>
              <w:rPr>
                <w:sz w:val="20"/>
              </w:rPr>
              <w:t>0.15 CEU/1.5 Hours Knowledge-based</w:t>
            </w:r>
          </w:p>
        </w:tc>
      </w:tr>
    </w:tbl>
    <w:p>
      <w:pPr>
        <w:spacing w:after="0" w:line="288" w:lineRule="auto"/>
        <w:rPr>
          <w:sz w:val="20"/>
        </w:rPr>
        <w:sectPr>
          <w:pgSz w:w="15840" w:h="12240" w:orient="landscape"/>
          <w:pgMar w:header="720" w:footer="0" w:top="1900" w:bottom="280" w:left="600" w:right="600"/>
        </w:sectPr>
      </w:pPr>
    </w:p>
    <w:p>
      <w:pPr>
        <w:pStyle w:val="BodyText"/>
        <w:spacing w:before="10"/>
        <w:rPr>
          <w:rFonts w:ascii="Times New Roman"/>
          <w:sz w:val="25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3"/>
        <w:gridCol w:w="4623"/>
        <w:gridCol w:w="4268"/>
        <w:gridCol w:w="3294"/>
      </w:tblGrid>
      <w:tr>
        <w:trPr>
          <w:trHeight w:val="383" w:hRule="atLeast"/>
        </w:trPr>
        <w:tc>
          <w:tcPr>
            <w:tcW w:w="14398" w:type="dxa"/>
            <w:gridSpan w:val="4"/>
            <w:shd w:val="clear" w:color="auto" w:fill="E1EED9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Friday October 28, 2022</w:t>
            </w:r>
          </w:p>
        </w:tc>
      </w:tr>
      <w:tr>
        <w:trPr>
          <w:trHeight w:val="637" w:hRule="atLeast"/>
        </w:trPr>
        <w:tc>
          <w:tcPr>
            <w:tcW w:w="2213" w:type="dxa"/>
            <w:shd w:val="clear" w:color="auto" w:fill="A8D08D"/>
          </w:tcPr>
          <w:p>
            <w:pPr>
              <w:pStyle w:val="TableParagraph"/>
              <w:spacing w:before="16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4623" w:type="dxa"/>
            <w:shd w:val="clear" w:color="auto" w:fill="A8D08D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Upon completion of this course, learners will</w:t>
            </w:r>
          </w:p>
          <w:p>
            <w:pPr>
              <w:pStyle w:val="TableParagraph"/>
              <w:spacing w:before="5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be better able to:</w:t>
            </w:r>
          </w:p>
        </w:tc>
        <w:tc>
          <w:tcPr>
            <w:tcW w:w="4268" w:type="dxa"/>
            <w:shd w:val="clear" w:color="auto" w:fill="A8D08D"/>
          </w:tcPr>
          <w:p>
            <w:pPr>
              <w:pStyle w:val="TableParagraph"/>
              <w:spacing w:before="16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Faculty Information</w:t>
            </w:r>
          </w:p>
        </w:tc>
        <w:tc>
          <w:tcPr>
            <w:tcW w:w="3294" w:type="dxa"/>
            <w:shd w:val="clear" w:color="auto" w:fill="A8D08D"/>
          </w:tcPr>
          <w:p>
            <w:pPr>
              <w:pStyle w:val="TableParagraph"/>
              <w:spacing w:before="16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CPE Information</w:t>
            </w:r>
          </w:p>
        </w:tc>
      </w:tr>
      <w:tr>
        <w:trPr>
          <w:trHeight w:val="1610" w:hRule="atLeast"/>
        </w:trPr>
        <w:tc>
          <w:tcPr>
            <w:tcW w:w="2213" w:type="dxa"/>
          </w:tcPr>
          <w:p>
            <w:pPr>
              <w:pStyle w:val="TableParagraph"/>
              <w:spacing w:before="7"/>
              <w:ind w:left="107" w:right="563"/>
              <w:rPr>
                <w:b/>
                <w:sz w:val="20"/>
              </w:rPr>
            </w:pPr>
            <w:r>
              <w:rPr>
                <w:b/>
                <w:sz w:val="20"/>
              </w:rPr>
              <w:t>Quality Improvement in Healthcare: The Pipeline is the Process</w:t>
            </w:r>
          </w:p>
          <w:p>
            <w:pPr>
              <w:pStyle w:val="TableParagraph"/>
              <w:spacing w:line="253" w:lineRule="exact"/>
              <w:ind w:left="107"/>
              <w:rPr>
                <w:sz w:val="20"/>
              </w:rPr>
            </w:pPr>
            <w:r>
              <w:rPr>
                <w:sz w:val="20"/>
              </w:rPr>
              <w:t>8:15am – 9:15am</w:t>
            </w:r>
          </w:p>
        </w:tc>
        <w:tc>
          <w:tcPr>
            <w:tcW w:w="4623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67" w:val="left" w:leader="none"/>
                <w:tab w:pos="468" w:val="left" w:leader="none"/>
              </w:tabs>
              <w:spacing w:line="240" w:lineRule="auto" w:before="7" w:after="0"/>
              <w:ind w:left="467" w:right="862" w:hanging="360"/>
              <w:jc w:val="left"/>
              <w:rPr>
                <w:sz w:val="20"/>
              </w:rPr>
            </w:pPr>
            <w:r>
              <w:rPr>
                <w:sz w:val="20"/>
              </w:rPr>
              <w:t>Describe the role of professional development in driving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improvement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67" w:val="left" w:leader="none"/>
                <w:tab w:pos="468" w:val="left" w:leader="none"/>
              </w:tabs>
              <w:spacing w:line="266" w:lineRule="exact" w:before="1" w:after="0"/>
              <w:ind w:left="467" w:right="231" w:hanging="360"/>
              <w:jc w:val="left"/>
              <w:rPr>
                <w:sz w:val="20"/>
              </w:rPr>
            </w:pPr>
            <w:r>
              <w:rPr>
                <w:sz w:val="20"/>
              </w:rPr>
              <w:t>Discuss the PERMA (Positive Emotions, Engagement, Relationships, Meaning, Accomplishment) model and how to apply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it to developing healthcare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professionals</w:t>
            </w:r>
          </w:p>
        </w:tc>
        <w:tc>
          <w:tcPr>
            <w:tcW w:w="4268" w:type="dxa"/>
          </w:tcPr>
          <w:p>
            <w:pPr>
              <w:pStyle w:val="TableParagraph"/>
              <w:ind w:left="106" w:right="379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Kierstin Cates Kennedy, MD, MSHA, FACP, SFHM</w:t>
            </w:r>
          </w:p>
          <w:p>
            <w:pPr>
              <w:pStyle w:val="TableParagraph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Chief Medical Officer</w:t>
            </w:r>
          </w:p>
          <w:p>
            <w:pPr>
              <w:pStyle w:val="TableParagraph"/>
              <w:ind w:left="106" w:right="22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University of Alabama at Birmingham (UAB) Medicine</w:t>
            </w:r>
          </w:p>
        </w:tc>
        <w:tc>
          <w:tcPr>
            <w:tcW w:w="3294" w:type="dxa"/>
          </w:tcPr>
          <w:p>
            <w:pPr>
              <w:pStyle w:val="TableParagraph"/>
              <w:spacing w:before="192"/>
              <w:ind w:left="106"/>
              <w:rPr>
                <w:sz w:val="20"/>
              </w:rPr>
            </w:pPr>
            <w:r>
              <w:rPr>
                <w:sz w:val="20"/>
              </w:rPr>
              <w:t>UAN:</w:t>
            </w:r>
          </w:p>
          <w:p>
            <w:pPr>
              <w:pStyle w:val="TableParagraph"/>
              <w:spacing w:before="53"/>
              <w:ind w:left="106"/>
              <w:rPr>
                <w:sz w:val="20"/>
              </w:rPr>
            </w:pPr>
            <w:r>
              <w:rPr>
                <w:sz w:val="20"/>
              </w:rPr>
              <w:t>0107-9999-22-327-L04-P</w:t>
            </w:r>
          </w:p>
          <w:p>
            <w:pPr>
              <w:pStyle w:val="TableParagraph"/>
              <w:spacing w:line="285" w:lineRule="auto" w:before="55"/>
              <w:ind w:left="106" w:right="1543"/>
              <w:rPr>
                <w:sz w:val="20"/>
              </w:rPr>
            </w:pPr>
            <w:r>
              <w:rPr>
                <w:sz w:val="20"/>
              </w:rPr>
              <w:t>0.1 CEU/1.0 Hours </w:t>
            </w:r>
            <w:r>
              <w:rPr>
                <w:w w:val="95"/>
                <w:sz w:val="20"/>
              </w:rPr>
              <w:t>Knowledge-based</w:t>
            </w:r>
          </w:p>
        </w:tc>
      </w:tr>
      <w:tr>
        <w:trPr>
          <w:trHeight w:val="2126" w:hRule="atLeast"/>
        </w:trPr>
        <w:tc>
          <w:tcPr>
            <w:tcW w:w="2213" w:type="dxa"/>
          </w:tcPr>
          <w:p>
            <w:pPr>
              <w:pStyle w:val="TableParagraph"/>
              <w:spacing w:before="7"/>
              <w:rPr>
                <w:rFonts w:ascii="Times New Roman"/>
                <w:sz w:val="34"/>
              </w:rPr>
            </w:pPr>
          </w:p>
          <w:p>
            <w:pPr>
              <w:pStyle w:val="TableParagraph"/>
              <w:ind w:left="107" w:right="143"/>
              <w:rPr>
                <w:sz w:val="20"/>
              </w:rPr>
            </w:pPr>
            <w:r>
              <w:rPr>
                <w:b/>
                <w:sz w:val="20"/>
              </w:rPr>
              <w:t>Changing Landscape of Metastatic Non- Small Cell Lung Cancer (NSCLC) </w:t>
            </w:r>
            <w:r>
              <w:rPr>
                <w:sz w:val="20"/>
              </w:rPr>
              <w:t>9:15am – 10:000am</w:t>
            </w:r>
          </w:p>
        </w:tc>
        <w:tc>
          <w:tcPr>
            <w:tcW w:w="4623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704" w:hanging="360"/>
              <w:jc w:val="left"/>
              <w:rPr>
                <w:sz w:val="20"/>
              </w:rPr>
            </w:pPr>
            <w:r>
              <w:rPr>
                <w:sz w:val="20"/>
              </w:rPr>
              <w:t>Discuss the efficacy and impact of immunotherapy in the management of Metastatic Non-Small Cell Lung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Cancer (NSCLC)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318" w:hanging="360"/>
              <w:jc w:val="left"/>
              <w:rPr>
                <w:sz w:val="20"/>
              </w:rPr>
            </w:pPr>
            <w:r>
              <w:rPr>
                <w:sz w:val="20"/>
              </w:rPr>
              <w:t>Discuss the actionable and driver</w:t>
            </w:r>
            <w:r>
              <w:rPr>
                <w:spacing w:val="-20"/>
                <w:sz w:val="20"/>
              </w:rPr>
              <w:t> </w:t>
            </w:r>
            <w:r>
              <w:rPr>
                <w:sz w:val="20"/>
              </w:rPr>
              <w:t>molecular alterations 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NSCLC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67" w:val="left" w:leader="none"/>
                <w:tab w:pos="468" w:val="left" w:leader="none"/>
              </w:tabs>
              <w:spacing w:line="264" w:lineRule="exact" w:before="4" w:after="0"/>
              <w:ind w:left="467" w:right="616" w:hanging="360"/>
              <w:jc w:val="left"/>
              <w:rPr>
                <w:sz w:val="20"/>
              </w:rPr>
            </w:pPr>
            <w:r>
              <w:rPr>
                <w:sz w:val="20"/>
              </w:rPr>
              <w:t>Compare efficacy of targeted therapy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to conventional therapy 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NSCLC</w:t>
            </w:r>
          </w:p>
        </w:tc>
        <w:tc>
          <w:tcPr>
            <w:tcW w:w="426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39"/>
              <w:ind w:left="106" w:right="1704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Mohammed Furqan, MD Clinical Associate Professor</w:t>
            </w:r>
          </w:p>
          <w:p>
            <w:pPr>
              <w:pStyle w:val="TableParagraph"/>
              <w:spacing w:line="237" w:lineRule="auto" w:before="3"/>
              <w:ind w:left="106" w:right="782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Division of Hematology and Oncology UI Carver College of Medicine</w:t>
            </w:r>
          </w:p>
        </w:tc>
        <w:tc>
          <w:tcPr>
            <w:tcW w:w="32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78"/>
              <w:ind w:left="106"/>
              <w:rPr>
                <w:sz w:val="20"/>
              </w:rPr>
            </w:pPr>
            <w:r>
              <w:rPr>
                <w:sz w:val="20"/>
              </w:rPr>
              <w:t>UAN:</w:t>
            </w:r>
          </w:p>
          <w:p>
            <w:pPr>
              <w:pStyle w:val="TableParagraph"/>
              <w:spacing w:before="53"/>
              <w:ind w:left="106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0107-9999-22-328-L01-P</w:t>
            </w:r>
          </w:p>
          <w:p>
            <w:pPr>
              <w:pStyle w:val="TableParagraph"/>
              <w:spacing w:line="285" w:lineRule="auto" w:before="1"/>
              <w:ind w:left="106" w:right="1219"/>
              <w:rPr>
                <w:sz w:val="20"/>
              </w:rPr>
            </w:pPr>
            <w:r>
              <w:rPr>
                <w:sz w:val="20"/>
              </w:rPr>
              <w:t>0.075 CEU/0.75 Hours Knowledge-based</w:t>
            </w:r>
          </w:p>
        </w:tc>
      </w:tr>
      <w:tr>
        <w:trPr>
          <w:trHeight w:val="2392" w:hRule="atLeast"/>
        </w:trPr>
        <w:tc>
          <w:tcPr>
            <w:tcW w:w="221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31"/>
              <w:ind w:left="107" w:right="97"/>
              <w:rPr>
                <w:sz w:val="20"/>
              </w:rPr>
            </w:pPr>
            <w:r>
              <w:rPr>
                <w:b/>
                <w:sz w:val="20"/>
              </w:rPr>
              <w:t>Managing Inpatients with </w:t>
            </w:r>
            <w:r>
              <w:rPr>
                <w:b/>
                <w:w w:val="95"/>
                <w:sz w:val="20"/>
              </w:rPr>
              <w:t>Hypertriglyceridemia </w:t>
            </w:r>
            <w:r>
              <w:rPr>
                <w:b/>
                <w:sz w:val="20"/>
              </w:rPr>
              <w:t>and Insulin Protocols </w:t>
            </w:r>
            <w:r>
              <w:rPr>
                <w:sz w:val="20"/>
              </w:rPr>
              <w:t>10:15am – 10:45am</w:t>
            </w:r>
          </w:p>
        </w:tc>
        <w:tc>
          <w:tcPr>
            <w:tcW w:w="4623" w:type="dxa"/>
          </w:tcPr>
          <w:p>
            <w:pPr>
              <w:pStyle w:val="TableParagraph"/>
              <w:spacing w:before="7"/>
              <w:rPr>
                <w:rFonts w:ascii="Times New Roman"/>
                <w:sz w:val="34"/>
              </w:rPr>
            </w:pP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229" w:hanging="360"/>
              <w:jc w:val="left"/>
              <w:rPr>
                <w:sz w:val="20"/>
              </w:rPr>
            </w:pPr>
            <w:r>
              <w:rPr>
                <w:sz w:val="20"/>
              </w:rPr>
              <w:t>Discuss the etiology and pathophysiology of hypertriglyceridemia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6" w:val="left" w:leader="none"/>
                <w:tab w:pos="468" w:val="left" w:leader="none"/>
              </w:tabs>
              <w:spacing w:line="240" w:lineRule="auto" w:before="0" w:after="0"/>
              <w:ind w:left="467" w:right="241" w:hanging="360"/>
              <w:jc w:val="left"/>
              <w:rPr>
                <w:sz w:val="20"/>
              </w:rPr>
            </w:pPr>
            <w:r>
              <w:rPr>
                <w:sz w:val="20"/>
              </w:rPr>
              <w:t>Describe the complications of hypertriglyceridemia in hospitalized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patients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66" w:val="left" w:leader="none"/>
                <w:tab w:pos="467" w:val="left" w:leader="none"/>
              </w:tabs>
              <w:spacing w:line="240" w:lineRule="auto" w:before="0" w:after="0"/>
              <w:ind w:left="466" w:right="241" w:hanging="360"/>
              <w:jc w:val="left"/>
              <w:rPr>
                <w:sz w:val="20"/>
              </w:rPr>
            </w:pPr>
            <w:r>
              <w:rPr>
                <w:sz w:val="20"/>
              </w:rPr>
              <w:t>Discuss the management of hypertriglyceridemia in hospitalized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patients</w:t>
            </w:r>
          </w:p>
        </w:tc>
        <w:tc>
          <w:tcPr>
            <w:tcW w:w="4268" w:type="dxa"/>
          </w:tcPr>
          <w:p>
            <w:pPr>
              <w:pStyle w:val="TableParagraph"/>
              <w:ind w:left="106" w:right="601"/>
              <w:rPr>
                <w:sz w:val="20"/>
              </w:rPr>
            </w:pPr>
            <w:r>
              <w:rPr>
                <w:sz w:val="20"/>
              </w:rPr>
              <w:t>Marcelo Correia MD, MSc, PhD, DABOM Clinical Assistant Professor</w:t>
            </w:r>
          </w:p>
          <w:p>
            <w:pPr>
              <w:pStyle w:val="TableParagraph"/>
              <w:ind w:left="106" w:right="135"/>
              <w:rPr>
                <w:sz w:val="20"/>
              </w:rPr>
            </w:pPr>
            <w:r>
              <w:rPr>
                <w:sz w:val="20"/>
              </w:rPr>
              <w:t>Department of Internal Medicine Division of Endocrinology, UI Carver College of Medicine</w:t>
            </w: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 w:right="1835"/>
              <w:rPr>
                <w:sz w:val="20"/>
              </w:rPr>
            </w:pPr>
            <w:r>
              <w:rPr>
                <w:sz w:val="20"/>
              </w:rPr>
              <w:t>Sarah Nolan, PA-C Diabetes Management PA</w:t>
            </w:r>
          </w:p>
          <w:p>
            <w:pPr>
              <w:pStyle w:val="TableParagraph"/>
              <w:spacing w:line="266" w:lineRule="exact" w:before="1"/>
              <w:ind w:left="106" w:right="135"/>
              <w:rPr>
                <w:sz w:val="20"/>
              </w:rPr>
            </w:pPr>
            <w:r>
              <w:rPr>
                <w:sz w:val="20"/>
              </w:rPr>
              <w:t>Department of Internal Medicine Division of Endocrinology, UI Carver College of Medicine</w:t>
            </w:r>
          </w:p>
        </w:tc>
        <w:tc>
          <w:tcPr>
            <w:tcW w:w="32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UAN:</w:t>
            </w:r>
          </w:p>
          <w:p>
            <w:pPr>
              <w:pStyle w:val="TableParagraph"/>
              <w:spacing w:before="53"/>
              <w:ind w:left="106"/>
              <w:rPr>
                <w:sz w:val="20"/>
              </w:rPr>
            </w:pPr>
            <w:r>
              <w:rPr>
                <w:sz w:val="20"/>
              </w:rPr>
              <w:t>0107-9999-22-329-L01-P</w:t>
            </w:r>
          </w:p>
          <w:p>
            <w:pPr>
              <w:pStyle w:val="TableParagraph"/>
              <w:spacing w:line="288" w:lineRule="auto" w:before="53"/>
              <w:ind w:left="106" w:right="1435"/>
              <w:rPr>
                <w:sz w:val="20"/>
              </w:rPr>
            </w:pPr>
            <w:r>
              <w:rPr>
                <w:sz w:val="20"/>
              </w:rPr>
              <w:t>0.05 CEU/0.5 Hours Knowledge-based</w:t>
            </w:r>
          </w:p>
        </w:tc>
      </w:tr>
      <w:tr>
        <w:trPr>
          <w:trHeight w:val="1860" w:hRule="atLeast"/>
        </w:trPr>
        <w:tc>
          <w:tcPr>
            <w:tcW w:w="2213" w:type="dxa"/>
          </w:tcPr>
          <w:p>
            <w:pPr>
              <w:pStyle w:val="TableParagraph"/>
              <w:spacing w:before="132"/>
              <w:ind w:left="107" w:right="380"/>
              <w:rPr>
                <w:sz w:val="20"/>
              </w:rPr>
            </w:pPr>
            <w:r>
              <w:rPr>
                <w:b/>
                <w:sz w:val="20"/>
              </w:rPr>
              <w:t>Monoclonal Antibodies for </w:t>
            </w:r>
            <w:r>
              <w:rPr>
                <w:b/>
                <w:spacing w:val="-5"/>
                <w:sz w:val="20"/>
              </w:rPr>
              <w:t>the </w:t>
            </w:r>
            <w:r>
              <w:rPr>
                <w:b/>
                <w:sz w:val="20"/>
              </w:rPr>
              <w:t>Prevention and Treatment of COVID-19 </w:t>
            </w:r>
            <w:r>
              <w:rPr>
                <w:sz w:val="20"/>
              </w:rPr>
              <w:t>10:45am –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11:45am</w:t>
            </w:r>
          </w:p>
        </w:tc>
        <w:tc>
          <w:tcPr>
            <w:tcW w:w="4623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499" w:hanging="360"/>
              <w:jc w:val="left"/>
              <w:rPr>
                <w:sz w:val="20"/>
              </w:rPr>
            </w:pPr>
            <w:r>
              <w:rPr>
                <w:sz w:val="20"/>
              </w:rPr>
              <w:t>Describe currently available antibody products and their place in therapy in the treatment and prevention of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COVID-19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7" w:val="left" w:leader="none"/>
                <w:tab w:pos="468" w:val="left" w:leader="none"/>
              </w:tabs>
              <w:spacing w:line="240" w:lineRule="auto" w:before="0" w:after="0"/>
              <w:ind w:left="467" w:right="265" w:hanging="360"/>
              <w:jc w:val="left"/>
              <w:rPr>
                <w:sz w:val="20"/>
              </w:rPr>
            </w:pPr>
            <w:r>
              <w:rPr>
                <w:sz w:val="20"/>
              </w:rPr>
              <w:t>Explain the risks and benefits of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monoclonal antibody therapy to their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patients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67" w:val="left" w:leader="none"/>
                <w:tab w:pos="468" w:val="left" w:leader="none"/>
              </w:tabs>
              <w:spacing w:line="266" w:lineRule="exact" w:before="0" w:after="0"/>
              <w:ind w:left="467" w:right="631" w:hanging="360"/>
              <w:jc w:val="left"/>
              <w:rPr>
                <w:sz w:val="20"/>
              </w:rPr>
            </w:pPr>
            <w:r>
              <w:rPr>
                <w:sz w:val="20"/>
              </w:rPr>
              <w:t>Discuss the use of monoclonal antibody therapy in the treatment of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COVID-19</w:t>
            </w:r>
          </w:p>
        </w:tc>
        <w:tc>
          <w:tcPr>
            <w:tcW w:w="4268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232"/>
              <w:ind w:left="106"/>
              <w:rPr>
                <w:sz w:val="20"/>
              </w:rPr>
            </w:pPr>
            <w:r>
              <w:rPr>
                <w:sz w:val="20"/>
              </w:rPr>
              <w:t>Emily Walsh, PharmD, BCACP</w:t>
            </w:r>
          </w:p>
          <w:p>
            <w:pPr>
              <w:pStyle w:val="TableParagraph"/>
              <w:ind w:left="106" w:right="656"/>
              <w:rPr>
                <w:sz w:val="20"/>
              </w:rPr>
            </w:pPr>
            <w:r>
              <w:rPr>
                <w:sz w:val="20"/>
              </w:rPr>
              <w:t>Division of Immunology/Rheumatology UI Health Care</w:t>
            </w:r>
          </w:p>
        </w:tc>
        <w:tc>
          <w:tcPr>
            <w:tcW w:w="3294" w:type="dxa"/>
          </w:tcPr>
          <w:p>
            <w:pPr>
              <w:pStyle w:val="TableParagraph"/>
              <w:spacing w:before="6"/>
              <w:rPr>
                <w:rFonts w:ascii="Times New Roman"/>
                <w:sz w:val="27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UAN:</w:t>
            </w:r>
          </w:p>
          <w:p>
            <w:pPr>
              <w:pStyle w:val="TableParagraph"/>
              <w:spacing w:before="54"/>
              <w:ind w:left="106"/>
              <w:rPr>
                <w:sz w:val="20"/>
              </w:rPr>
            </w:pPr>
            <w:r>
              <w:rPr>
                <w:sz w:val="20"/>
              </w:rPr>
              <w:t>0107-9999-22-330-L01-P</w:t>
            </w:r>
          </w:p>
          <w:p>
            <w:pPr>
              <w:pStyle w:val="TableParagraph"/>
              <w:spacing w:line="288" w:lineRule="auto" w:before="53"/>
              <w:ind w:left="106" w:right="1543"/>
              <w:rPr>
                <w:sz w:val="20"/>
              </w:rPr>
            </w:pPr>
            <w:r>
              <w:rPr>
                <w:sz w:val="20"/>
              </w:rPr>
              <w:t>0.1 CEU/1.0 Hours </w:t>
            </w:r>
            <w:r>
              <w:rPr>
                <w:w w:val="95"/>
                <w:sz w:val="20"/>
              </w:rPr>
              <w:t>Knowledge-based</w:t>
            </w:r>
          </w:p>
        </w:tc>
      </w:tr>
    </w:tbl>
    <w:p>
      <w:pPr>
        <w:spacing w:after="0" w:line="288" w:lineRule="auto"/>
        <w:rPr>
          <w:sz w:val="20"/>
        </w:rPr>
        <w:sectPr>
          <w:pgSz w:w="15840" w:h="12240" w:orient="landscape"/>
          <w:pgMar w:header="720" w:footer="0" w:top="1900" w:bottom="280" w:left="600" w:right="600"/>
        </w:sectPr>
      </w:pPr>
    </w:p>
    <w:p>
      <w:pPr>
        <w:pStyle w:val="BodyText"/>
        <w:spacing w:before="10"/>
        <w:rPr>
          <w:rFonts w:ascii="Times New Roman"/>
          <w:sz w:val="25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3"/>
        <w:gridCol w:w="4623"/>
        <w:gridCol w:w="4268"/>
        <w:gridCol w:w="3294"/>
      </w:tblGrid>
      <w:tr>
        <w:trPr>
          <w:trHeight w:val="383" w:hRule="atLeast"/>
        </w:trPr>
        <w:tc>
          <w:tcPr>
            <w:tcW w:w="14398" w:type="dxa"/>
            <w:gridSpan w:val="4"/>
            <w:shd w:val="clear" w:color="auto" w:fill="E1EED9"/>
          </w:tcPr>
          <w:p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Friday October 28, 2022</w:t>
            </w:r>
          </w:p>
        </w:tc>
      </w:tr>
      <w:tr>
        <w:trPr>
          <w:trHeight w:val="637" w:hRule="atLeast"/>
        </w:trPr>
        <w:tc>
          <w:tcPr>
            <w:tcW w:w="2213" w:type="dxa"/>
            <w:shd w:val="clear" w:color="auto" w:fill="A8D08D"/>
          </w:tcPr>
          <w:p>
            <w:pPr>
              <w:pStyle w:val="TableParagraph"/>
              <w:spacing w:before="16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</w:p>
        </w:tc>
        <w:tc>
          <w:tcPr>
            <w:tcW w:w="4623" w:type="dxa"/>
            <w:shd w:val="clear" w:color="auto" w:fill="A8D08D"/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Upon completion of this course, learners will</w:t>
            </w:r>
          </w:p>
          <w:p>
            <w:pPr>
              <w:pStyle w:val="TableParagraph"/>
              <w:spacing w:before="5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be better able to:</w:t>
            </w:r>
          </w:p>
        </w:tc>
        <w:tc>
          <w:tcPr>
            <w:tcW w:w="4268" w:type="dxa"/>
            <w:shd w:val="clear" w:color="auto" w:fill="A8D08D"/>
          </w:tcPr>
          <w:p>
            <w:pPr>
              <w:pStyle w:val="TableParagraph"/>
              <w:spacing w:before="16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Faculty Information</w:t>
            </w:r>
          </w:p>
        </w:tc>
        <w:tc>
          <w:tcPr>
            <w:tcW w:w="3294" w:type="dxa"/>
            <w:shd w:val="clear" w:color="auto" w:fill="A8D08D"/>
          </w:tcPr>
          <w:p>
            <w:pPr>
              <w:pStyle w:val="TableParagraph"/>
              <w:spacing w:before="160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CPE Information</w:t>
            </w:r>
          </w:p>
        </w:tc>
      </w:tr>
      <w:tr>
        <w:trPr>
          <w:trHeight w:val="2394" w:hRule="atLeast"/>
        </w:trPr>
        <w:tc>
          <w:tcPr>
            <w:tcW w:w="221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07" w:right="226"/>
              <w:rPr>
                <w:sz w:val="20"/>
              </w:rPr>
            </w:pPr>
            <w:r>
              <w:rPr>
                <w:b/>
                <w:sz w:val="20"/>
              </w:rPr>
              <w:t>Continuous Glucose Monitors (CGM) in Primary Care </w:t>
            </w:r>
            <w:r>
              <w:rPr>
                <w:sz w:val="20"/>
              </w:rPr>
              <w:t>1:00pm – 2:30pm</w:t>
            </w:r>
          </w:p>
        </w:tc>
        <w:tc>
          <w:tcPr>
            <w:tcW w:w="4623" w:type="dxa"/>
          </w:tcPr>
          <w:p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7" w:val="left" w:leader="none"/>
                <w:tab w:pos="468" w:val="left" w:leader="none"/>
              </w:tabs>
              <w:spacing w:line="288" w:lineRule="auto" w:before="0" w:after="0"/>
              <w:ind w:left="467" w:right="744" w:hanging="360"/>
              <w:jc w:val="left"/>
              <w:rPr>
                <w:sz w:val="20"/>
              </w:rPr>
            </w:pPr>
            <w:r>
              <w:rPr>
                <w:sz w:val="20"/>
              </w:rPr>
              <w:t>Discuss the use of Continuous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Glucose Monitor (CGM)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technology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7" w:val="left" w:leader="none"/>
                <w:tab w:pos="468" w:val="left" w:leader="none"/>
              </w:tabs>
              <w:spacing w:line="266" w:lineRule="exact" w:before="0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Identify criteria for use 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CGM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7" w:val="left" w:leader="none"/>
                <w:tab w:pos="468" w:val="left" w:leader="none"/>
              </w:tabs>
              <w:spacing w:line="240" w:lineRule="auto" w:before="54" w:after="0"/>
              <w:ind w:left="46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Review interpretation of CGM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data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67" w:val="left" w:leader="none"/>
                <w:tab w:pos="468" w:val="left" w:leader="none"/>
              </w:tabs>
              <w:spacing w:line="288" w:lineRule="auto" w:before="53" w:after="0"/>
              <w:ind w:left="467" w:right="550" w:hanging="360"/>
              <w:jc w:val="left"/>
              <w:rPr>
                <w:sz w:val="20"/>
              </w:rPr>
            </w:pPr>
            <w:r>
              <w:rPr>
                <w:sz w:val="20"/>
              </w:rPr>
              <w:t>Explain specific precautions, pitfalls, and patient factors to consider with CGM</w:t>
            </w:r>
            <w:r>
              <w:rPr>
                <w:spacing w:val="-17"/>
                <w:sz w:val="20"/>
              </w:rPr>
              <w:t> </w:t>
            </w:r>
            <w:r>
              <w:rPr>
                <w:sz w:val="20"/>
              </w:rPr>
              <w:t>use</w:t>
            </w:r>
          </w:p>
        </w:tc>
        <w:tc>
          <w:tcPr>
            <w:tcW w:w="4268" w:type="dxa"/>
          </w:tcPr>
          <w:p>
            <w:pPr>
              <w:pStyle w:val="TableParagraph"/>
              <w:ind w:left="106" w:right="1792"/>
              <w:rPr>
                <w:sz w:val="20"/>
              </w:rPr>
            </w:pPr>
            <w:r>
              <w:rPr>
                <w:sz w:val="20"/>
              </w:rPr>
              <w:t>Amie Ogunsakin, MD Clinical Assistant Professor</w:t>
            </w:r>
          </w:p>
          <w:p>
            <w:pPr>
              <w:pStyle w:val="TableParagraph"/>
              <w:ind w:left="106" w:right="135"/>
              <w:rPr>
                <w:sz w:val="20"/>
              </w:rPr>
            </w:pPr>
            <w:r>
              <w:rPr>
                <w:sz w:val="20"/>
              </w:rPr>
              <w:t>Department of Internal Medicine Division of Endocrinology, UI Carver College of Medicine</w:t>
            </w:r>
          </w:p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 w:right="1834" w:hanging="1"/>
              <w:rPr>
                <w:sz w:val="20"/>
              </w:rPr>
            </w:pPr>
            <w:r>
              <w:rPr>
                <w:sz w:val="20"/>
              </w:rPr>
              <w:t>Bianca Carlson, PA-C Diabetes Management PA</w:t>
            </w:r>
          </w:p>
          <w:p>
            <w:pPr>
              <w:pStyle w:val="TableParagraph"/>
              <w:spacing w:line="260" w:lineRule="atLeast" w:before="2"/>
              <w:ind w:left="106" w:right="135"/>
              <w:rPr>
                <w:sz w:val="20"/>
              </w:rPr>
            </w:pPr>
            <w:r>
              <w:rPr>
                <w:sz w:val="20"/>
              </w:rPr>
              <w:t>Department of Internal Medicine Division of Endocrinology, UI Carver College of Medicine</w:t>
            </w:r>
          </w:p>
        </w:tc>
        <w:tc>
          <w:tcPr>
            <w:tcW w:w="32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UAN:</w:t>
            </w:r>
          </w:p>
          <w:p>
            <w:pPr>
              <w:pStyle w:val="TableParagraph"/>
              <w:spacing w:before="53"/>
              <w:ind w:left="106"/>
              <w:rPr>
                <w:sz w:val="20"/>
              </w:rPr>
            </w:pPr>
            <w:r>
              <w:rPr>
                <w:sz w:val="20"/>
              </w:rPr>
              <w:t>0107-9999-22-331-L01-P</w:t>
            </w:r>
          </w:p>
          <w:p>
            <w:pPr>
              <w:pStyle w:val="TableParagraph"/>
              <w:spacing w:line="288" w:lineRule="auto" w:before="53"/>
              <w:ind w:left="106" w:right="1435"/>
              <w:rPr>
                <w:sz w:val="20"/>
              </w:rPr>
            </w:pPr>
            <w:r>
              <w:rPr>
                <w:sz w:val="20"/>
              </w:rPr>
              <w:t>0.15 CEU/1.5 Hours Knowledge-based</w:t>
            </w:r>
          </w:p>
        </w:tc>
      </w:tr>
      <w:tr>
        <w:trPr>
          <w:trHeight w:val="3724" w:hRule="atLeast"/>
        </w:trPr>
        <w:tc>
          <w:tcPr>
            <w:tcW w:w="221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7" w:right="292"/>
              <w:rPr>
                <w:sz w:val="20"/>
              </w:rPr>
            </w:pPr>
            <w:r>
              <w:rPr>
                <w:b/>
                <w:sz w:val="20"/>
              </w:rPr>
              <w:t>Updates in Chronic Pain Management </w:t>
            </w:r>
            <w:r>
              <w:rPr>
                <w:sz w:val="20"/>
              </w:rPr>
              <w:t>1:00pm – 2:30pm</w:t>
            </w:r>
          </w:p>
        </w:tc>
        <w:tc>
          <w:tcPr>
            <w:tcW w:w="462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7" w:val="left" w:leader="none"/>
                <w:tab w:pos="468" w:val="left" w:leader="none"/>
              </w:tabs>
              <w:spacing w:line="288" w:lineRule="auto" w:before="0" w:after="0"/>
              <w:ind w:left="467" w:right="190" w:hanging="360"/>
              <w:jc w:val="left"/>
              <w:rPr>
                <w:sz w:val="20"/>
              </w:rPr>
            </w:pPr>
            <w:r>
              <w:rPr>
                <w:sz w:val="20"/>
              </w:rPr>
              <w:t>Describe the changes in the updated CDC Opioid Prescribing Guidelines and how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these will affect clinical practice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7" w:val="left" w:leader="none"/>
                <w:tab w:pos="468" w:val="left" w:leader="none"/>
              </w:tabs>
              <w:spacing w:line="288" w:lineRule="auto" w:before="0" w:after="0"/>
              <w:ind w:left="467" w:right="144" w:hanging="360"/>
              <w:jc w:val="left"/>
              <w:rPr>
                <w:sz w:val="20"/>
              </w:rPr>
            </w:pPr>
            <w:r>
              <w:rPr>
                <w:sz w:val="20"/>
              </w:rPr>
              <w:t>Discuss the current data supporting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cognitive behavioral therapies for chronic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pain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67" w:val="left" w:leader="none"/>
                <w:tab w:pos="468" w:val="left" w:leader="none"/>
              </w:tabs>
              <w:spacing w:line="288" w:lineRule="auto" w:before="0" w:after="0"/>
              <w:ind w:left="467" w:right="348" w:hanging="360"/>
              <w:jc w:val="left"/>
              <w:rPr>
                <w:sz w:val="20"/>
              </w:rPr>
            </w:pPr>
            <w:r>
              <w:rPr>
                <w:sz w:val="20"/>
              </w:rPr>
              <w:t>Describe the status of what is known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about pain and related effects seen after COVID infection</w:t>
            </w:r>
          </w:p>
        </w:tc>
        <w:tc>
          <w:tcPr>
            <w:tcW w:w="4268" w:type="dxa"/>
          </w:tcPr>
          <w:p>
            <w:pPr>
              <w:pStyle w:val="TableParagraph"/>
              <w:ind w:left="106" w:right="1029"/>
              <w:rPr>
                <w:sz w:val="20"/>
              </w:rPr>
            </w:pPr>
            <w:r>
              <w:rPr>
                <w:sz w:val="20"/>
              </w:rPr>
              <w:t>Lee Kral, PharmD, FASHP, CHWC Clinical Assistant Professor, Dept of Anesthesia</w:t>
            </w:r>
          </w:p>
          <w:p>
            <w:pPr>
              <w:pStyle w:val="TableParagraph"/>
              <w:spacing w:line="265" w:lineRule="exact"/>
              <w:ind w:left="106"/>
              <w:rPr>
                <w:sz w:val="20"/>
              </w:rPr>
            </w:pPr>
            <w:r>
              <w:rPr>
                <w:sz w:val="20"/>
              </w:rPr>
              <w:t>UI Carver College of Medicine</w:t>
            </w:r>
          </w:p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Beth Dinoff, PhD</w:t>
            </w:r>
          </w:p>
          <w:p>
            <w:pPr>
              <w:pStyle w:val="TableParagraph"/>
              <w:ind w:left="106" w:right="981"/>
              <w:rPr>
                <w:sz w:val="20"/>
              </w:rPr>
            </w:pPr>
            <w:r>
              <w:rPr>
                <w:sz w:val="20"/>
              </w:rPr>
              <w:t>Clinical Associate Professor, Dept of Anesthesia</w:t>
            </w:r>
          </w:p>
          <w:p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UI Carver College of Medicine</w:t>
            </w:r>
          </w:p>
          <w:p>
            <w:pPr>
              <w:pStyle w:val="TableParagraph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Emma Murter, PharmD</w:t>
            </w:r>
          </w:p>
          <w:p>
            <w:pPr>
              <w:pStyle w:val="TableParagraph"/>
              <w:ind w:left="106" w:right="645"/>
              <w:rPr>
                <w:sz w:val="20"/>
              </w:rPr>
            </w:pPr>
            <w:r>
              <w:rPr>
                <w:sz w:val="20"/>
              </w:rPr>
              <w:t>PGY2 Pain and Palliative Care Pharmacy Resident</w:t>
            </w:r>
          </w:p>
          <w:p>
            <w:pPr>
              <w:pStyle w:val="TableParagraph"/>
              <w:spacing w:line="246" w:lineRule="exact" w:before="2"/>
              <w:ind w:left="106"/>
              <w:rPr>
                <w:sz w:val="20"/>
              </w:rPr>
            </w:pPr>
            <w:r>
              <w:rPr>
                <w:sz w:val="20"/>
              </w:rPr>
              <w:t>UI College of Pharmacy</w:t>
            </w:r>
          </w:p>
        </w:tc>
        <w:tc>
          <w:tcPr>
            <w:tcW w:w="3294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UAN:</w:t>
            </w:r>
          </w:p>
          <w:p>
            <w:pPr>
              <w:pStyle w:val="TableParagraph"/>
              <w:spacing w:before="53"/>
              <w:ind w:left="106"/>
              <w:rPr>
                <w:sz w:val="20"/>
              </w:rPr>
            </w:pPr>
            <w:r>
              <w:rPr>
                <w:sz w:val="20"/>
              </w:rPr>
              <w:t>0107-9999-22-332-L08-P</w:t>
            </w:r>
          </w:p>
          <w:p>
            <w:pPr>
              <w:pStyle w:val="TableParagraph"/>
              <w:spacing w:line="288" w:lineRule="auto" w:before="53"/>
              <w:ind w:left="106" w:right="1435"/>
              <w:rPr>
                <w:sz w:val="20"/>
              </w:rPr>
            </w:pPr>
            <w:r>
              <w:rPr>
                <w:sz w:val="20"/>
              </w:rPr>
              <w:t>0.15 CEU/1.5 Hours Knowledge-based</w:t>
            </w:r>
          </w:p>
        </w:tc>
      </w:tr>
      <w:tr>
        <w:trPr>
          <w:trHeight w:val="1862" w:hRule="atLeast"/>
        </w:trPr>
        <w:tc>
          <w:tcPr>
            <w:tcW w:w="2213" w:type="dxa"/>
          </w:tcPr>
          <w:p>
            <w:pPr>
              <w:pStyle w:val="TableParagraph"/>
              <w:ind w:left="107" w:right="445"/>
              <w:rPr>
                <w:b/>
                <w:sz w:val="20"/>
              </w:rPr>
            </w:pPr>
            <w:r>
              <w:rPr>
                <w:b/>
                <w:sz w:val="20"/>
              </w:rPr>
              <w:t>Chimeric Antigen Receptor T-Cells, New Tools for Immune System Engineering in Oncology</w:t>
            </w:r>
          </w:p>
          <w:p>
            <w:pPr>
              <w:pStyle w:val="TableParagraph"/>
              <w:spacing w:line="246" w:lineRule="exact"/>
              <w:ind w:left="107"/>
              <w:rPr>
                <w:sz w:val="20"/>
              </w:rPr>
            </w:pPr>
            <w:r>
              <w:rPr>
                <w:sz w:val="20"/>
              </w:rPr>
              <w:t>2:45pm – 4:15pm</w:t>
            </w:r>
          </w:p>
        </w:tc>
        <w:tc>
          <w:tcPr>
            <w:tcW w:w="4623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67" w:val="left" w:leader="none"/>
                <w:tab w:pos="468" w:val="left" w:leader="none"/>
              </w:tabs>
              <w:spacing w:line="288" w:lineRule="auto" w:before="132" w:after="0"/>
              <w:ind w:left="467" w:right="150" w:hanging="360"/>
              <w:jc w:val="left"/>
              <w:rPr>
                <w:sz w:val="20"/>
              </w:rPr>
            </w:pPr>
            <w:r>
              <w:rPr>
                <w:sz w:val="20"/>
              </w:rPr>
              <w:t>Identify chimeric antigen receptor T cell therapies and the current indications for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their use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67" w:val="left" w:leader="none"/>
                <w:tab w:pos="468" w:val="left" w:leader="none"/>
              </w:tabs>
              <w:spacing w:line="288" w:lineRule="auto" w:before="0" w:after="0"/>
              <w:ind w:left="467" w:right="197" w:hanging="360"/>
              <w:jc w:val="left"/>
              <w:rPr>
                <w:sz w:val="20"/>
              </w:rPr>
            </w:pPr>
            <w:r>
              <w:rPr>
                <w:sz w:val="20"/>
              </w:rPr>
              <w:t>Describe the process of CAR T cell collection, infusion, 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monitoring</w:t>
            </w:r>
          </w:p>
        </w:tc>
        <w:tc>
          <w:tcPr>
            <w:tcW w:w="4268" w:type="dxa"/>
          </w:tcPr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37" w:lineRule="auto"/>
              <w:ind w:left="106" w:right="1792"/>
              <w:rPr>
                <w:sz w:val="20"/>
              </w:rPr>
            </w:pPr>
            <w:r>
              <w:rPr>
                <w:sz w:val="20"/>
              </w:rPr>
              <w:t>Christopher Strouse MD Clinical Assistant Professor</w:t>
            </w:r>
          </w:p>
          <w:p>
            <w:pPr>
              <w:pStyle w:val="TableParagraph"/>
              <w:spacing w:before="1"/>
              <w:ind w:left="106" w:right="1247"/>
              <w:rPr>
                <w:sz w:val="20"/>
              </w:rPr>
            </w:pPr>
            <w:r>
              <w:rPr>
                <w:sz w:val="20"/>
              </w:rPr>
              <w:t>Department of Internal Medicine UI Carver College of Medicine</w:t>
            </w:r>
          </w:p>
        </w:tc>
        <w:tc>
          <w:tcPr>
            <w:tcW w:w="3294" w:type="dxa"/>
          </w:tcPr>
          <w:p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UAN:</w:t>
            </w:r>
          </w:p>
          <w:p>
            <w:pPr>
              <w:pStyle w:val="TableParagraph"/>
              <w:spacing w:before="53"/>
              <w:ind w:left="106"/>
              <w:rPr>
                <w:sz w:val="20"/>
              </w:rPr>
            </w:pPr>
            <w:r>
              <w:rPr>
                <w:sz w:val="20"/>
              </w:rPr>
              <w:t>0107-9999-22-333-L01-P</w:t>
            </w:r>
          </w:p>
          <w:p>
            <w:pPr>
              <w:pStyle w:val="TableParagraph"/>
              <w:spacing w:line="288" w:lineRule="auto" w:before="53"/>
              <w:ind w:left="106" w:right="1435"/>
              <w:rPr>
                <w:sz w:val="20"/>
              </w:rPr>
            </w:pPr>
            <w:r>
              <w:rPr>
                <w:sz w:val="20"/>
              </w:rPr>
              <w:t>0.15 CEU/1.5 Hours Knowledge-based</w:t>
            </w:r>
          </w:p>
        </w:tc>
      </w:tr>
    </w:tbl>
    <w:p>
      <w:pPr>
        <w:spacing w:after="0" w:line="288" w:lineRule="auto"/>
        <w:rPr>
          <w:sz w:val="20"/>
        </w:rPr>
        <w:sectPr>
          <w:pgSz w:w="15840" w:h="12240" w:orient="landscape"/>
          <w:pgMar w:header="720" w:footer="0" w:top="1900" w:bottom="280" w:left="600" w:right="600"/>
        </w:sectPr>
      </w:pPr>
    </w:p>
    <w:p>
      <w:pPr>
        <w:pStyle w:val="BodyText"/>
        <w:spacing w:before="10"/>
        <w:rPr>
          <w:rFonts w:ascii="Times New Roman"/>
          <w:sz w:val="25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3"/>
        <w:gridCol w:w="4623"/>
        <w:gridCol w:w="4268"/>
        <w:gridCol w:w="3294"/>
      </w:tblGrid>
      <w:tr>
        <w:trPr>
          <w:trHeight w:val="2234" w:hRule="atLeast"/>
        </w:trPr>
        <w:tc>
          <w:tcPr>
            <w:tcW w:w="2213" w:type="dxa"/>
          </w:tcPr>
          <w:p>
            <w:pPr>
              <w:pStyle w:val="TableParagraph"/>
              <w:ind w:left="107" w:right="120"/>
              <w:rPr>
                <w:sz w:val="20"/>
              </w:rPr>
            </w:pPr>
            <w:r>
              <w:rPr>
                <w:sz w:val="20"/>
              </w:rPr>
              <w:t>Chimeric Antigen Receptor T-Cells, New Tools for Immune System Engineering in Oncology</w:t>
            </w:r>
          </w:p>
          <w:p>
            <w:pPr>
              <w:pStyle w:val="TableParagraph"/>
              <w:spacing w:line="266" w:lineRule="exact"/>
              <w:ind w:left="107"/>
              <w:rPr>
                <w:sz w:val="20"/>
              </w:rPr>
            </w:pPr>
            <w:r>
              <w:rPr>
                <w:sz w:val="20"/>
              </w:rPr>
              <w:t>(continued)</w:t>
            </w:r>
          </w:p>
        </w:tc>
        <w:tc>
          <w:tcPr>
            <w:tcW w:w="4623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67" w:val="left" w:leader="none"/>
                <w:tab w:pos="468" w:val="left" w:leader="none"/>
              </w:tabs>
              <w:spacing w:line="288" w:lineRule="auto" w:before="0" w:after="0"/>
              <w:ind w:left="467" w:right="116" w:hanging="360"/>
              <w:jc w:val="left"/>
              <w:rPr>
                <w:sz w:val="20"/>
              </w:rPr>
            </w:pPr>
            <w:r>
              <w:rPr>
                <w:sz w:val="20"/>
              </w:rPr>
              <w:t>Recognize short and long-term side effects of treatment with chimeric antigen receptor T cells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7" w:val="left" w:leader="none"/>
                <w:tab w:pos="468" w:val="left" w:leader="none"/>
              </w:tabs>
              <w:spacing w:line="288" w:lineRule="auto" w:before="0" w:after="0"/>
              <w:ind w:left="467" w:right="111" w:hanging="360"/>
              <w:jc w:val="left"/>
              <w:rPr>
                <w:sz w:val="20"/>
              </w:rPr>
            </w:pPr>
            <w:r>
              <w:rPr>
                <w:sz w:val="20"/>
              </w:rPr>
              <w:t>Describe the financial implications of</w:t>
            </w:r>
            <w:r>
              <w:rPr>
                <w:spacing w:val="-21"/>
                <w:sz w:val="20"/>
              </w:rPr>
              <w:t> </w:t>
            </w:r>
            <w:r>
              <w:rPr>
                <w:sz w:val="20"/>
              </w:rPr>
              <w:t>chimeric antigen receptor T cell treatments from the perspective of patients, the institution,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and</w:t>
            </w:r>
          </w:p>
          <w:p>
            <w:pPr>
              <w:pStyle w:val="TableParagraph"/>
              <w:spacing w:line="266" w:lineRule="exact"/>
              <w:ind w:left="467"/>
              <w:rPr>
                <w:sz w:val="20"/>
              </w:rPr>
            </w:pPr>
            <w:r>
              <w:rPr>
                <w:sz w:val="20"/>
              </w:rPr>
              <w:t>the health care system</w:t>
            </w:r>
          </w:p>
        </w:tc>
        <w:tc>
          <w:tcPr>
            <w:tcW w:w="4268" w:type="dxa"/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106" w:right="1766"/>
              <w:rPr>
                <w:sz w:val="20"/>
              </w:rPr>
            </w:pPr>
            <w:r>
              <w:rPr>
                <w:sz w:val="20"/>
              </w:rPr>
              <w:t>Jonathan Lochner, PharmD Clinical Pharmacist</w:t>
            </w:r>
          </w:p>
          <w:p>
            <w:pPr>
              <w:pStyle w:val="TableParagraph"/>
              <w:spacing w:line="237" w:lineRule="auto" w:before="2"/>
              <w:ind w:left="106"/>
              <w:rPr>
                <w:sz w:val="20"/>
              </w:rPr>
            </w:pPr>
            <w:r>
              <w:rPr>
                <w:sz w:val="20"/>
              </w:rPr>
              <w:t>Departments of Internal Medicine and Pharmacy</w:t>
            </w:r>
          </w:p>
          <w:p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sz w:val="20"/>
              </w:rPr>
              <w:t>University of Iowa Health Care</w:t>
            </w:r>
          </w:p>
        </w:tc>
        <w:tc>
          <w:tcPr>
            <w:tcW w:w="329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62" w:hRule="atLeast"/>
        </w:trPr>
        <w:tc>
          <w:tcPr>
            <w:tcW w:w="221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3" w:type="dxa"/>
            <w:tcBorders>
              <w:bottom w:val="nil"/>
            </w:tcBorders>
          </w:tcPr>
          <w:p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1. Discuss CDC vaccine updates for Hepatitis B,</w:t>
            </w:r>
          </w:p>
        </w:tc>
        <w:tc>
          <w:tcPr>
            <w:tcW w:w="4268" w:type="dxa"/>
            <w:vMerge w:val="restart"/>
          </w:tcPr>
          <w:p>
            <w:pPr>
              <w:pStyle w:val="TableParagraph"/>
              <w:ind w:left="106" w:right="942"/>
              <w:rPr>
                <w:sz w:val="20"/>
              </w:rPr>
            </w:pPr>
            <w:r>
              <w:rPr>
                <w:sz w:val="20"/>
              </w:rPr>
              <w:t>Allison Bernard, PharmD, BCACP Clinical Pharmacy Specialist – Family Medicine</w:t>
            </w:r>
          </w:p>
          <w:p>
            <w:pPr>
              <w:pStyle w:val="TableParagraph"/>
              <w:spacing w:before="1"/>
              <w:ind w:left="106" w:right="1472"/>
              <w:rPr>
                <w:sz w:val="20"/>
              </w:rPr>
            </w:pPr>
            <w:r>
              <w:rPr>
                <w:sz w:val="20"/>
              </w:rPr>
              <w:t>Department of Pharmacy University of Iowa Health Care</w:t>
            </w:r>
          </w:p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Sarah Greiner, PharmD</w:t>
            </w:r>
          </w:p>
          <w:p>
            <w:pPr>
              <w:pStyle w:val="TableParagraph"/>
              <w:ind w:left="106" w:right="391"/>
              <w:rPr>
                <w:sz w:val="20"/>
              </w:rPr>
            </w:pPr>
            <w:r>
              <w:rPr>
                <w:sz w:val="20"/>
              </w:rPr>
              <w:t>PGY2 Ambulatory Care Pharmacy Resident Department of Pharmacy</w:t>
            </w:r>
          </w:p>
          <w:p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University of Iowa Health Care</w:t>
            </w:r>
          </w:p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37" w:lineRule="auto"/>
              <w:ind w:left="106" w:right="2174"/>
              <w:rPr>
                <w:sz w:val="20"/>
              </w:rPr>
            </w:pPr>
            <w:r>
              <w:rPr>
                <w:sz w:val="20"/>
              </w:rPr>
              <w:t>William L. Iverson, MD Clinical Professor</w:t>
            </w:r>
          </w:p>
          <w:p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Division of General Internal Medicine</w:t>
            </w:r>
          </w:p>
          <w:p>
            <w:pPr>
              <w:pStyle w:val="TableParagraph"/>
              <w:spacing w:line="260" w:lineRule="atLeast" w:before="2"/>
              <w:ind w:left="106" w:right="253"/>
              <w:rPr>
                <w:sz w:val="20"/>
              </w:rPr>
            </w:pPr>
            <w:r>
              <w:rPr>
                <w:sz w:val="20"/>
              </w:rPr>
              <w:t>UI Carver College of Medicine and Iowa City Veterans Affairs Medical Center</w:t>
            </w:r>
          </w:p>
        </w:tc>
        <w:tc>
          <w:tcPr>
            <w:tcW w:w="329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22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HPV, Influenza, Pneumococcal, Rabies, Shingrix,</w:t>
            </w:r>
          </w:p>
        </w:tc>
        <w:tc>
          <w:tcPr>
            <w:tcW w:w="4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22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and Tdap</w:t>
            </w:r>
          </w:p>
        </w:tc>
        <w:tc>
          <w:tcPr>
            <w:tcW w:w="4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85" w:hRule="atLeast"/>
        </w:trPr>
        <w:tc>
          <w:tcPr>
            <w:tcW w:w="22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Vaccine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Updates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2:45pm –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4:15pm</w:t>
            </w:r>
          </w:p>
        </w:tc>
        <w:tc>
          <w:tcPr>
            <w:tcW w:w="4623" w:type="dxa"/>
            <w:tcBorders>
              <w:top w:val="nil"/>
              <w:bottom w:val="nil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314" w:val="left" w:leader="none"/>
              </w:tabs>
              <w:spacing w:line="288" w:lineRule="auto" w:before="21" w:after="0"/>
              <w:ind w:left="107" w:right="390" w:firstLine="0"/>
              <w:jc w:val="left"/>
              <w:rPr>
                <w:sz w:val="20"/>
              </w:rPr>
            </w:pPr>
            <w:r>
              <w:rPr>
                <w:sz w:val="20"/>
              </w:rPr>
              <w:t>Apply Advisory Committee on</w:t>
            </w:r>
            <w:r>
              <w:rPr>
                <w:spacing w:val="-16"/>
                <w:sz w:val="20"/>
              </w:rPr>
              <w:t> </w:t>
            </w:r>
            <w:r>
              <w:rPr>
                <w:sz w:val="20"/>
              </w:rPr>
              <w:t>Immunization Practices (ACIP) Guidelines to patient cases to provide appropriate vaccine</w:t>
            </w:r>
            <w:r>
              <w:rPr>
                <w:spacing w:val="-18"/>
                <w:sz w:val="20"/>
              </w:rPr>
              <w:t> </w:t>
            </w:r>
            <w:r>
              <w:rPr>
                <w:sz w:val="20"/>
              </w:rPr>
              <w:t>recommendations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314" w:val="left" w:leader="none"/>
              </w:tabs>
              <w:spacing w:line="266" w:lineRule="exact" w:before="0" w:after="0"/>
              <w:ind w:left="313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Compare 23-valent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pneumococcal</w:t>
            </w:r>
          </w:p>
          <w:p>
            <w:pPr>
              <w:pStyle w:val="TableParagraph"/>
              <w:spacing w:before="53"/>
              <w:ind w:left="107"/>
              <w:rPr>
                <w:sz w:val="20"/>
              </w:rPr>
            </w:pPr>
            <w:r>
              <w:rPr>
                <w:sz w:val="20"/>
              </w:rPr>
              <w:t>polysaccharide vaccine (PPSV23) and 20-valent</w:t>
            </w:r>
          </w:p>
        </w:tc>
        <w:tc>
          <w:tcPr>
            <w:tcW w:w="4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0"/>
              <w:ind w:left="106"/>
              <w:rPr>
                <w:sz w:val="20"/>
              </w:rPr>
            </w:pPr>
            <w:r>
              <w:rPr>
                <w:sz w:val="20"/>
              </w:rPr>
              <w:t>UAN:</w:t>
            </w:r>
          </w:p>
          <w:p>
            <w:pPr>
              <w:pStyle w:val="TableParagraph"/>
              <w:spacing w:before="53"/>
              <w:ind w:left="106"/>
              <w:rPr>
                <w:sz w:val="20"/>
              </w:rPr>
            </w:pPr>
            <w:r>
              <w:rPr>
                <w:sz w:val="20"/>
              </w:rPr>
              <w:t>0107-9999-22-334-L06-P</w:t>
            </w:r>
          </w:p>
          <w:p>
            <w:pPr>
              <w:pStyle w:val="TableParagraph"/>
              <w:spacing w:line="288" w:lineRule="auto" w:before="53"/>
              <w:ind w:left="106" w:right="1435"/>
              <w:rPr>
                <w:sz w:val="20"/>
              </w:rPr>
            </w:pPr>
            <w:r>
              <w:rPr>
                <w:sz w:val="20"/>
              </w:rPr>
              <w:t>0.15 CEU/1.5 Hours Application-based</w:t>
            </w:r>
          </w:p>
        </w:tc>
      </w:tr>
      <w:tr>
        <w:trPr>
          <w:trHeight w:val="309" w:hRule="atLeast"/>
        </w:trPr>
        <w:tc>
          <w:tcPr>
            <w:tcW w:w="22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pneumococcal conjugate vaccine (PCV20)</w:t>
            </w:r>
          </w:p>
        </w:tc>
        <w:tc>
          <w:tcPr>
            <w:tcW w:w="4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22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4. Recognize differences between the 2-dose</w:t>
            </w:r>
          </w:p>
        </w:tc>
        <w:tc>
          <w:tcPr>
            <w:tcW w:w="4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9" w:hRule="atLeast"/>
        </w:trPr>
        <w:tc>
          <w:tcPr>
            <w:tcW w:w="221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series and 3-dose series for Human</w:t>
            </w:r>
          </w:p>
        </w:tc>
        <w:tc>
          <w:tcPr>
            <w:tcW w:w="4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3" w:hRule="atLeast"/>
        </w:trPr>
        <w:tc>
          <w:tcPr>
            <w:tcW w:w="221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23" w:type="dxa"/>
            <w:tcBorders>
              <w:top w:val="nil"/>
            </w:tcBorders>
          </w:tcPr>
          <w:p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Papillomavirus (HPV) Vaccine</w:t>
            </w:r>
          </w:p>
        </w:tc>
        <w:tc>
          <w:tcPr>
            <w:tcW w:w="426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29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header="720" w:footer="0" w:top="1900" w:bottom="280" w:left="600" w:right="600"/>
        </w:sectPr>
      </w:pPr>
    </w:p>
    <w:p>
      <w:pPr>
        <w:pStyle w:val="BodyText"/>
        <w:spacing w:before="5"/>
        <w:rPr>
          <w:rFonts w:ascii="Times New Roman"/>
          <w:sz w:val="25"/>
        </w:rPr>
      </w:pPr>
    </w:p>
    <w:p>
      <w:pPr>
        <w:pStyle w:val="BodyText"/>
        <w:ind w:left="119"/>
        <w:rPr>
          <w:rFonts w:ascii="Times New Roman"/>
        </w:rPr>
      </w:pPr>
      <w:r>
        <w:rPr>
          <w:rFonts w:ascii="Times New Roman"/>
        </w:rPr>
        <w:pict>
          <v:group style="width:715.8pt;height:20.2pt;mso-position-horizontal-relative:char;mso-position-vertical-relative:line" coordorigin="0,0" coordsize="14316,404">
            <v:rect style="position:absolute;left:14200;top:9;width:104;height:384" filled="true" fillcolor="#e1eed9" stroked="false">
              <v:fill type="solid"/>
            </v:rect>
            <v:rect style="position:absolute;left:9;top:9;width:104;height:384" filled="true" fillcolor="#e1eed9" stroked="false">
              <v:fill type="solid"/>
            </v:rect>
            <v:line style="position:absolute" from="10,5" to="14306,5" stroked="true" strokeweight=".481pt" strokecolor="#000000">
              <v:stroke dashstyle="solid"/>
            </v:line>
            <v:line style="position:absolute" from="5,0" to="5,403" stroked="true" strokeweight=".48pt" strokecolor="#000000">
              <v:stroke dashstyle="solid"/>
            </v:line>
            <v:line style="position:absolute" from="10,398" to="14306,398" stroked="true" strokeweight=".48pt" strokecolor="#000000">
              <v:stroke dashstyle="solid"/>
            </v:line>
            <v:line style="position:absolute" from="14311,0" to="14311,403" stroked="true" strokeweight=".48pt" strokecolor="#000000">
              <v:stroke dashstyle="solid"/>
            </v:line>
            <v:shape style="position:absolute;left:112;top:9;width:14094;height:384" type="#_x0000_t202" filled="true" fillcolor="#e1eed9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Additional CPE Information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7"/>
        <w:rPr>
          <w:rFonts w:ascii="Times New Roman"/>
          <w:sz w:val="13"/>
        </w:rPr>
      </w:pPr>
    </w:p>
    <w:p>
      <w:pPr>
        <w:spacing w:before="99"/>
        <w:ind w:left="120" w:right="0" w:firstLine="0"/>
        <w:jc w:val="left"/>
        <w:rPr>
          <w:b/>
          <w:sz w:val="20"/>
        </w:rPr>
      </w:pPr>
      <w:r>
        <w:rPr>
          <w:b/>
          <w:color w:val="333333"/>
          <w:sz w:val="20"/>
        </w:rPr>
        <w:t>Faculty Disclosure:</w:t>
      </w:r>
    </w:p>
    <w:p>
      <w:pPr>
        <w:pStyle w:val="BodyText"/>
        <w:spacing w:before="53"/>
        <w:ind w:left="120"/>
      </w:pPr>
      <w:r>
        <w:rPr>
          <w:color w:val="333333"/>
        </w:rPr>
        <w:t>Brett Faine reports sponsored research projects by Spero Therapeutics, Inc.</w:t>
      </w:r>
    </w:p>
    <w:p>
      <w:pPr>
        <w:pStyle w:val="BodyText"/>
        <w:rPr>
          <w:sz w:val="28"/>
        </w:rPr>
      </w:pPr>
    </w:p>
    <w:p>
      <w:pPr>
        <w:pStyle w:val="BodyText"/>
        <w:spacing w:line="288" w:lineRule="auto"/>
        <w:ind w:left="840" w:right="465" w:hanging="720"/>
      </w:pPr>
      <w:r>
        <w:rPr>
          <w:color w:val="333333"/>
        </w:rPr>
        <w:t>Mohammed Furqan is a member of the following advisory committees and reports sponsored research by the pharmaceutical companies listed below: Advisory; -Jazz Pharmaceuticals -Advisory; -Mirat Therapeutics -Advisory; -Abbvie -Advisory; -AstraZeneca Pharmaceuticals LP -Advisory; -Beigene - Advisory; -Janssen Pharmaceutica -Advisory; -Abbvie -Advisory; -AstraZeneca Pharmaceuticals LP -Advisory; -Beigene -Advisory; -Janssen Pharmaceutica -Advisory; -Mirat Therapeutics -Advisory; Helping in reviewing data; -Novartis -AbbVie, Inc.; Altor BioScience, LLC; Amgen, Inc.; Aprea Therapeutics; AstraZeneca LP; AstraZeneca Pharmaceuticals LP; BeiGene, Ltd.; Bristol-Myers Squibb Company; Celgene Corporation; Checkmate Pharmaceuticals; Elicio Therapeutics, Inc.; Genentech, Inc.; Genmab US Inc.; Gilead Sciences, Inc.; Incyte Corporation; Inhibrx, Inc.; Merck Sharp &amp;amp; Dohme</w:t>
      </w:r>
      <w:r>
        <w:rPr>
          <w:color w:val="333333"/>
          <w:spacing w:val="-5"/>
        </w:rPr>
        <w:t> </w:t>
      </w:r>
      <w:r>
        <w:rPr>
          <w:color w:val="333333"/>
        </w:rPr>
        <w:t>LLC;</w:t>
      </w:r>
      <w:r>
        <w:rPr>
          <w:color w:val="333333"/>
          <w:spacing w:val="-4"/>
        </w:rPr>
        <w:t> </w:t>
      </w:r>
      <w:r>
        <w:rPr>
          <w:color w:val="333333"/>
        </w:rPr>
        <w:t>Mirati</w:t>
      </w:r>
      <w:r>
        <w:rPr>
          <w:color w:val="333333"/>
          <w:spacing w:val="-4"/>
        </w:rPr>
        <w:t> </w:t>
      </w:r>
      <w:r>
        <w:rPr>
          <w:color w:val="333333"/>
        </w:rPr>
        <w:t>Therapeutics,</w:t>
      </w:r>
      <w:r>
        <w:rPr>
          <w:color w:val="333333"/>
          <w:spacing w:val="-4"/>
        </w:rPr>
        <w:t> </w:t>
      </w:r>
      <w:r>
        <w:rPr>
          <w:color w:val="333333"/>
        </w:rPr>
        <w:t>Inc;</w:t>
      </w:r>
      <w:r>
        <w:rPr>
          <w:color w:val="333333"/>
          <w:spacing w:val="-4"/>
        </w:rPr>
        <w:t> </w:t>
      </w:r>
      <w:r>
        <w:rPr>
          <w:color w:val="333333"/>
        </w:rPr>
        <w:t>Novartis</w:t>
      </w:r>
      <w:r>
        <w:rPr>
          <w:color w:val="333333"/>
          <w:spacing w:val="-4"/>
        </w:rPr>
        <w:t> </w:t>
      </w:r>
      <w:r>
        <w:rPr>
          <w:color w:val="333333"/>
        </w:rPr>
        <w:t>Pharmaceuticals</w:t>
      </w:r>
      <w:r>
        <w:rPr>
          <w:color w:val="333333"/>
          <w:spacing w:val="-5"/>
        </w:rPr>
        <w:t> </w:t>
      </w:r>
      <w:r>
        <w:rPr>
          <w:color w:val="333333"/>
        </w:rPr>
        <w:t>Corporation;</w:t>
      </w:r>
      <w:r>
        <w:rPr>
          <w:color w:val="333333"/>
          <w:spacing w:val="-4"/>
        </w:rPr>
        <w:t> </w:t>
      </w:r>
      <w:r>
        <w:rPr>
          <w:color w:val="333333"/>
        </w:rPr>
        <w:t>Pharmaceutical</w:t>
      </w:r>
      <w:r>
        <w:rPr>
          <w:color w:val="333333"/>
          <w:spacing w:val="-4"/>
        </w:rPr>
        <w:t> </w:t>
      </w:r>
      <w:r>
        <w:rPr>
          <w:color w:val="333333"/>
        </w:rPr>
        <w:t>Research</w:t>
      </w:r>
      <w:r>
        <w:rPr>
          <w:color w:val="333333"/>
          <w:spacing w:val="-4"/>
        </w:rPr>
        <w:t> </w:t>
      </w:r>
      <w:r>
        <w:rPr>
          <w:color w:val="333333"/>
        </w:rPr>
        <w:t>Associates;</w:t>
      </w:r>
      <w:r>
        <w:rPr>
          <w:color w:val="333333"/>
          <w:spacing w:val="-4"/>
        </w:rPr>
        <w:t> </w:t>
      </w:r>
      <w:r>
        <w:rPr>
          <w:color w:val="333333"/>
        </w:rPr>
        <w:t>PPD</w:t>
      </w:r>
      <w:r>
        <w:rPr>
          <w:color w:val="333333"/>
          <w:spacing w:val="-5"/>
        </w:rPr>
        <w:t> </w:t>
      </w:r>
      <w:r>
        <w:rPr>
          <w:color w:val="333333"/>
        </w:rPr>
        <w:t>Investigator</w:t>
      </w:r>
      <w:r>
        <w:rPr>
          <w:color w:val="333333"/>
          <w:spacing w:val="-3"/>
        </w:rPr>
        <w:t> </w:t>
      </w:r>
      <w:r>
        <w:rPr>
          <w:color w:val="333333"/>
        </w:rPr>
        <w:t>Services,</w:t>
      </w:r>
      <w:r>
        <w:rPr>
          <w:color w:val="333333"/>
          <w:spacing w:val="-4"/>
        </w:rPr>
        <w:t> </w:t>
      </w:r>
      <w:r>
        <w:rPr>
          <w:color w:val="333333"/>
        </w:rPr>
        <w:t>LLC;</w:t>
      </w:r>
      <w:r>
        <w:rPr>
          <w:color w:val="333333"/>
          <w:spacing w:val="-4"/>
        </w:rPr>
        <w:t> </w:t>
      </w:r>
      <w:r>
        <w:rPr>
          <w:color w:val="333333"/>
        </w:rPr>
        <w:t>SOPHiA GENETICS; -Sponsored Research -</w:t>
      </w:r>
      <w:r>
        <w:rPr>
          <w:color w:val="333333"/>
          <w:spacing w:val="-1"/>
        </w:rPr>
        <w:t> </w:t>
      </w:r>
      <w:r>
        <w:rPr>
          <w:color w:val="333333"/>
        </w:rPr>
        <w:t>07/14/2022PDF</w:t>
      </w:r>
    </w:p>
    <w:p>
      <w:pPr>
        <w:pStyle w:val="BodyText"/>
        <w:rPr>
          <w:sz w:val="24"/>
        </w:rPr>
      </w:pPr>
    </w:p>
    <w:p>
      <w:pPr>
        <w:pStyle w:val="BodyText"/>
        <w:ind w:left="120"/>
      </w:pPr>
      <w:r>
        <w:rPr>
          <w:color w:val="333333"/>
        </w:rPr>
        <w:t>Marcelo Correia reports sponsored research by the pharmaceutical companies listed below:</w:t>
      </w:r>
    </w:p>
    <w:p>
      <w:pPr>
        <w:pStyle w:val="BodyText"/>
        <w:spacing w:line="288" w:lineRule="auto" w:before="53"/>
        <w:ind w:left="839" w:right="40"/>
      </w:pPr>
      <w:r>
        <w:rPr>
          <w:color w:val="333333"/>
        </w:rPr>
        <w:t>research; -Eli Lilly and Company -Research; -Novartis -Consultant; Research; -Novo Nordisk Pharmaceuticals, Inc. -research; -Eli Lilly and Company - Research; -Novartis -Consultant; Research; -Novo Nordisk Pharmaceuticals, Inc. -Eli Lilly &amp;amp; Company; Novartis Pharmaceuticals Corporation; Novo Nordisk, Inc.; -Sponsored Research - 03/29/2022PDF</w:t>
      </w:r>
    </w:p>
    <w:p>
      <w:pPr>
        <w:pStyle w:val="BodyText"/>
        <w:rPr>
          <w:sz w:val="24"/>
        </w:rPr>
      </w:pPr>
    </w:p>
    <w:p>
      <w:pPr>
        <w:pStyle w:val="BodyText"/>
        <w:ind w:left="120"/>
      </w:pPr>
      <w:r>
        <w:rPr>
          <w:color w:val="333333"/>
        </w:rPr>
        <w:t>All relevant financial relationships have been mitigated.</w:t>
      </w:r>
    </w:p>
    <w:p>
      <w:pPr>
        <w:pStyle w:val="BodyText"/>
        <w:rPr>
          <w:sz w:val="28"/>
        </w:rPr>
      </w:pPr>
    </w:p>
    <w:p>
      <w:pPr>
        <w:pStyle w:val="BodyText"/>
        <w:ind w:left="120"/>
      </w:pPr>
      <w:r>
        <w:rPr>
          <w:color w:val="333333"/>
        </w:rPr>
        <w:t>All other faculty members for Progress 2022 have no relevant financial relationships with ineligible companies to disclose.</w:t>
      </w:r>
    </w:p>
    <w:p>
      <w:pPr>
        <w:pStyle w:val="BodyText"/>
        <w:rPr>
          <w:sz w:val="28"/>
        </w:rPr>
      </w:pPr>
    </w:p>
    <w:p>
      <w:pPr>
        <w:spacing w:before="0"/>
        <w:ind w:left="120" w:right="0" w:firstLine="0"/>
        <w:jc w:val="left"/>
        <w:rPr>
          <w:sz w:val="20"/>
        </w:rPr>
      </w:pPr>
      <w:r>
        <w:rPr>
          <w:b/>
          <w:color w:val="333333"/>
          <w:sz w:val="20"/>
        </w:rPr>
        <w:t>Off-Label Use of Medications: </w:t>
      </w:r>
      <w:r>
        <w:rPr>
          <w:sz w:val="20"/>
        </w:rPr>
        <w:t>Off-label use of medications will be discussed during the scheduled presentations:</w:t>
      </w:r>
    </w:p>
    <w:p>
      <w:pPr>
        <w:pStyle w:val="ListParagraph"/>
        <w:numPr>
          <w:ilvl w:val="0"/>
          <w:numId w:val="15"/>
        </w:numPr>
        <w:tabs>
          <w:tab w:pos="839" w:val="left" w:leader="none"/>
          <w:tab w:pos="840" w:val="left" w:leader="none"/>
        </w:tabs>
        <w:spacing w:line="240" w:lineRule="auto" w:before="53" w:after="0"/>
        <w:ind w:left="839" w:right="0" w:hanging="361"/>
        <w:jc w:val="left"/>
        <w:rPr>
          <w:sz w:val="20"/>
        </w:rPr>
      </w:pPr>
      <w:r>
        <w:rPr>
          <w:sz w:val="20"/>
        </w:rPr>
        <w:t>Evidence-based Medicine Updates of Pharmacotherapy Interventions in the Emergency Department / Hot Topics in Health System</w:t>
      </w:r>
      <w:r>
        <w:rPr>
          <w:spacing w:val="-20"/>
          <w:sz w:val="20"/>
        </w:rPr>
        <w:t> </w:t>
      </w:r>
      <w:r>
        <w:rPr>
          <w:sz w:val="20"/>
        </w:rPr>
        <w:t>Medicine</w:t>
      </w:r>
    </w:p>
    <w:p>
      <w:pPr>
        <w:pStyle w:val="ListParagraph"/>
        <w:numPr>
          <w:ilvl w:val="0"/>
          <w:numId w:val="15"/>
        </w:numPr>
        <w:tabs>
          <w:tab w:pos="839" w:val="left" w:leader="none"/>
          <w:tab w:pos="840" w:val="left" w:leader="none"/>
        </w:tabs>
        <w:spacing w:line="240" w:lineRule="auto" w:before="53" w:after="0"/>
        <w:ind w:left="839" w:right="0" w:hanging="361"/>
        <w:jc w:val="left"/>
        <w:rPr>
          <w:sz w:val="20"/>
        </w:rPr>
      </w:pPr>
      <w:r>
        <w:rPr>
          <w:sz w:val="20"/>
        </w:rPr>
        <w:t>Changing Landscape of Metastatic Non-Small Cell Lung Cancer</w:t>
      </w:r>
      <w:r>
        <w:rPr>
          <w:spacing w:val="-4"/>
          <w:sz w:val="20"/>
        </w:rPr>
        <w:t> </w:t>
      </w:r>
      <w:r>
        <w:rPr>
          <w:sz w:val="20"/>
        </w:rPr>
        <w:t>(NSCLC)</w:t>
      </w:r>
    </w:p>
    <w:p>
      <w:pPr>
        <w:spacing w:after="0" w:line="240" w:lineRule="auto"/>
        <w:jc w:val="left"/>
        <w:rPr>
          <w:sz w:val="20"/>
        </w:rPr>
        <w:sectPr>
          <w:pgSz w:w="15840" w:h="12240" w:orient="landscape"/>
          <w:pgMar w:header="720" w:footer="0" w:top="1900" w:bottom="280" w:left="600" w:right="60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99"/>
        <w:ind w:left="895"/>
      </w:pPr>
      <w:r>
        <w:rPr/>
        <w:drawing>
          <wp:anchor distT="0" distB="0" distL="0" distR="0" allowOverlap="1" layoutInCell="1" locked="0" behindDoc="0" simplePos="0" relativeHeight="251660288">
            <wp:simplePos x="0" y="0"/>
            <wp:positionH relativeFrom="page">
              <wp:posOffset>461352</wp:posOffset>
            </wp:positionH>
            <wp:positionV relativeFrom="paragraph">
              <wp:posOffset>-51834</wp:posOffset>
            </wp:positionV>
            <wp:extent cx="448500" cy="400107"/>
            <wp:effectExtent l="0" t="0" r="0" b="0"/>
            <wp:wrapNone/>
            <wp:docPr id="3" name="image2.png" descr="ACPELOG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500" cy="400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CEimpact is accredited by the Accreditation Council for Pharmacy Education as a provider of continuing pharmacy education.</w:t>
      </w:r>
    </w:p>
    <w:p>
      <w:pPr>
        <w:pStyle w:val="BodyText"/>
        <w:rPr>
          <w:sz w:val="19"/>
        </w:rPr>
      </w:pPr>
    </w:p>
    <w:p>
      <w:pPr>
        <w:spacing w:line="288" w:lineRule="auto" w:before="0"/>
        <w:ind w:left="119" w:right="0" w:firstLine="0"/>
        <w:jc w:val="left"/>
        <w:rPr>
          <w:i/>
          <w:sz w:val="20"/>
        </w:rPr>
      </w:pPr>
      <w:r>
        <w:rPr>
          <w:i/>
          <w:sz w:val="20"/>
        </w:rPr>
        <w:t>To obtain the number of contact hours of continuing pharmacy education noted for each course listed, participants must participate in the course, successfully pass the </w:t>
      </w:r>
      <w:r>
        <w:rPr>
          <w:i/>
          <w:sz w:val="20"/>
        </w:rPr>
        <w:t>exam (if applicable), and complete an evaluation. The CPE Statement of Credit can then be accessed on CPE Monitor, </w:t>
      </w:r>
      <w:hyperlink r:id="rId7">
        <w:r>
          <w:rPr>
            <w:i/>
            <w:color w:val="0000FF"/>
            <w:sz w:val="20"/>
            <w:u w:val="single" w:color="0000FF"/>
          </w:rPr>
          <w:t>www.MyCPEMonitor.net</w:t>
        </w:r>
        <w:r>
          <w:rPr>
            <w:i/>
            <w:sz w:val="20"/>
          </w:rPr>
          <w:t>.</w:t>
        </w:r>
      </w:hyperlink>
    </w:p>
    <w:p>
      <w:pPr>
        <w:spacing w:line="288" w:lineRule="auto" w:before="0"/>
        <w:ind w:left="120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You must complete these requirements within 30 days of the date of the live CPE event. Late submissions will not transmit to CPE Monitor and CPE credit </w:t>
      </w:r>
      <w:r>
        <w:rPr>
          <w:b/>
          <w:i/>
          <w:sz w:val="20"/>
        </w:rPr>
        <w:t>will not be provided.</w:t>
      </w:r>
    </w:p>
    <w:p>
      <w:pPr>
        <w:pStyle w:val="BodyText"/>
        <w:rPr>
          <w:b/>
          <w:i/>
          <w:sz w:val="24"/>
        </w:rPr>
      </w:pPr>
    </w:p>
    <w:p>
      <w:pPr>
        <w:tabs>
          <w:tab w:pos="2279" w:val="left" w:leader="none"/>
        </w:tabs>
        <w:spacing w:line="288" w:lineRule="auto" w:before="0"/>
        <w:ind w:left="120" w:right="11071" w:firstLine="0"/>
        <w:jc w:val="left"/>
        <w:rPr>
          <w:sz w:val="20"/>
        </w:rPr>
      </w:pPr>
      <w:r>
        <w:rPr>
          <w:b/>
          <w:sz w:val="20"/>
        </w:rPr>
        <w:t>Target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Audience:</w:t>
        <w:tab/>
      </w:r>
      <w:r>
        <w:rPr>
          <w:sz w:val="20"/>
        </w:rPr>
        <w:t>Pharmacists </w:t>
      </w:r>
      <w:r>
        <w:rPr>
          <w:b/>
          <w:sz w:val="20"/>
        </w:rPr>
        <w:t>Course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Format:</w:t>
        <w:tab/>
      </w:r>
      <w:r>
        <w:rPr>
          <w:sz w:val="20"/>
        </w:rPr>
        <w:t>Live,</w:t>
      </w:r>
      <w:r>
        <w:rPr>
          <w:spacing w:val="-9"/>
          <w:sz w:val="20"/>
        </w:rPr>
        <w:t> </w:t>
      </w:r>
      <w:r>
        <w:rPr>
          <w:sz w:val="20"/>
        </w:rPr>
        <w:t>in-person </w:t>
      </w:r>
      <w:r>
        <w:rPr>
          <w:b/>
          <w:sz w:val="20"/>
        </w:rPr>
        <w:t>Financial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Support:</w:t>
        <w:tab/>
      </w:r>
      <w:r>
        <w:rPr>
          <w:sz w:val="20"/>
        </w:rPr>
        <w:t>None</w:t>
      </w:r>
    </w:p>
    <w:p>
      <w:pPr>
        <w:pStyle w:val="BodyText"/>
        <w:tabs>
          <w:tab w:pos="2280" w:val="left" w:leader="none"/>
        </w:tabs>
        <w:spacing w:line="288" w:lineRule="auto"/>
        <w:ind w:left="2279" w:right="6573" w:hanging="2160"/>
      </w:pPr>
      <w:r>
        <w:rPr>
          <w:b/>
        </w:rPr>
        <w:t>Course</w:t>
      </w:r>
      <w:r>
        <w:rPr>
          <w:b/>
          <w:spacing w:val="-2"/>
        </w:rPr>
        <w:t> </w:t>
      </w:r>
      <w:r>
        <w:rPr>
          <w:b/>
        </w:rPr>
        <w:t>Fee:</w:t>
        <w:tab/>
        <w:tab/>
      </w:r>
      <w:r>
        <w:rPr/>
        <w:t>Pharmacist/Allied Health Professional $225- 2 days / $125 – 1 day Resident $135 – 2 days / $70 – 1</w:t>
      </w:r>
      <w:r>
        <w:rPr>
          <w:spacing w:val="1"/>
        </w:rPr>
        <w:t> </w:t>
      </w:r>
      <w:r>
        <w:rPr/>
        <w:t>day</w:t>
      </w:r>
    </w:p>
    <w:p>
      <w:pPr>
        <w:pStyle w:val="BodyText"/>
        <w:spacing w:line="266" w:lineRule="exact"/>
        <w:ind w:left="2279"/>
      </w:pPr>
      <w:r>
        <w:rPr/>
        <w:t>Student $100 – 2 days / $55 – 1 day</w:t>
      </w:r>
    </w:p>
    <w:sectPr>
      <w:pgSz w:w="15840" w:h="12240" w:orient="landscape"/>
      <w:pgMar w:header="720" w:footer="0" w:top="190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Segoe UI">
    <w:altName w:val="Segoe UI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50999808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784057" cy="38544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4057" cy="3854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82.400002pt;width:293.9pt;height:14pt;mso-position-horizontal-relative:page;mso-position-vertical-relative:page;z-index:-252315648" type="#_x0000_t20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sz w:val="24"/>
                  </w:rPr>
                  <w:t>Progress 2022 Continuing Pharmacy Education (CPE) Details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"/>
      <w:lvlJc w:val="left"/>
      <w:pPr>
        <w:ind w:left="839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980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6360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9120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0500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11880" w:hanging="360"/>
      </w:pPr>
      <w:rPr>
        <w:rFonts w:hint="default"/>
        <w:lang w:val="en-us" w:eastAsia="en-us" w:bidi="en-us"/>
      </w:rPr>
    </w:lvl>
  </w:abstractNum>
  <w:abstractNum w:abstractNumId="13">
    <w:multiLevelType w:val="hybridMultilevel"/>
    <w:lvl w:ilvl="0">
      <w:start w:val="2"/>
      <w:numFmt w:val="decimal"/>
      <w:lvlText w:val="%1."/>
      <w:lvlJc w:val="left"/>
      <w:pPr>
        <w:ind w:left="107" w:hanging="207"/>
        <w:jc w:val="left"/>
      </w:pPr>
      <w:rPr>
        <w:rFonts w:hint="default" w:ascii="Segoe UI" w:hAnsi="Segoe UI" w:eastAsia="Segoe UI" w:cs="Segoe UI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51" w:hanging="20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02" w:hanging="20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453" w:hanging="20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905" w:hanging="20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56" w:hanging="20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807" w:hanging="20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259" w:hanging="20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710" w:hanging="207"/>
      </w:pPr>
      <w:rPr>
        <w:rFonts w:hint="default"/>
        <w:lang w:val="en-us" w:eastAsia="en-us" w:bidi="en-us"/>
      </w:rPr>
    </w:lvl>
  </w:abstractNum>
  <w:abstractNum w:abstractNumId="12">
    <w:multiLevelType w:val="hybridMultilevel"/>
    <w:lvl w:ilvl="0">
      <w:start w:val="3"/>
      <w:numFmt w:val="decimal"/>
      <w:lvlText w:val="%1."/>
      <w:lvlJc w:val="left"/>
      <w:pPr>
        <w:ind w:left="467" w:hanging="360"/>
        <w:jc w:val="left"/>
      </w:pPr>
      <w:rPr>
        <w:rFonts w:hint="default" w:ascii="Segoe UI" w:hAnsi="Segoe UI" w:eastAsia="Segoe UI" w:cs="Segoe UI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75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21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951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en-us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Segoe UI" w:hAnsi="Segoe UI" w:eastAsia="Segoe UI" w:cs="Segoe UI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75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21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951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en-us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Segoe UI" w:hAnsi="Segoe UI" w:eastAsia="Segoe UI" w:cs="Segoe UI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75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21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951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en-us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Segoe UI" w:hAnsi="Segoe UI" w:eastAsia="Segoe UI" w:cs="Segoe UI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75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21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951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en-us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Segoe UI" w:hAnsi="Segoe UI" w:eastAsia="Segoe UI" w:cs="Segoe UI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75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21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951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en-us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Segoe UI" w:hAnsi="Segoe UI" w:eastAsia="Segoe UI" w:cs="Segoe UI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75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21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951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en-us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Segoe UI" w:hAnsi="Segoe UI" w:eastAsia="Segoe UI" w:cs="Segoe UI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75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21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951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en-us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Segoe UI" w:hAnsi="Segoe UI" w:eastAsia="Segoe UI" w:cs="Segoe UI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75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21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951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en-us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07" w:hanging="207"/>
        <w:jc w:val="left"/>
      </w:pPr>
      <w:rPr>
        <w:rFonts w:hint="default" w:ascii="Segoe UI" w:hAnsi="Segoe UI" w:eastAsia="Segoe UI" w:cs="Segoe UI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551" w:hanging="207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002" w:hanging="207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453" w:hanging="207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905" w:hanging="207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356" w:hanging="207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807" w:hanging="207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259" w:hanging="207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710" w:hanging="207"/>
      </w:pPr>
      <w:rPr>
        <w:rFonts w:hint="default"/>
        <w:lang w:val="en-us" w:eastAsia="en-us" w:bidi="en-us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Segoe UI" w:hAnsi="Segoe UI" w:eastAsia="Segoe UI" w:cs="Segoe UI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75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21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951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w w:val="99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75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21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951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75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21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951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67" w:hanging="360"/>
        <w:jc w:val="left"/>
      </w:pPr>
      <w:rPr>
        <w:rFonts w:hint="default" w:ascii="Segoe UI" w:hAnsi="Segoe UI" w:eastAsia="Segoe UI" w:cs="Segoe UI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875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05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121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536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951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782" w:hanging="360"/>
      </w:pPr>
      <w:rPr>
        <w:rFonts w:hint="default"/>
        <w:lang w:val="en-us" w:eastAsia="en-us" w:bidi="en-us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53"/>
      <w:ind w:left="839" w:hanging="361"/>
    </w:pPr>
    <w:rPr>
      <w:rFonts w:ascii="Segoe UI" w:hAnsi="Segoe UI" w:eastAsia="Segoe UI" w:cs="Segoe U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Segoe UI" w:hAnsi="Segoe UI" w:eastAsia="Segoe UI" w:cs="Segoe U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hyperlink" Target="http://www.mycpemonitor.net/" TargetMode="Externa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Schott</dc:creator>
  <dcterms:created xsi:type="dcterms:W3CDTF">2022-08-18T20:56:01Z</dcterms:created>
  <dcterms:modified xsi:type="dcterms:W3CDTF">2022-08-18T20:56:01Z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2022-08-18T00:00:00Z</vt:filetime>
  </property>
</Properties>
</file>